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6F3BB" w14:textId="77777777" w:rsidR="002512E0" w:rsidRPr="00D7796A" w:rsidRDefault="002512E0" w:rsidP="002512E0">
      <w:pPr>
        <w:spacing w:line="240" w:lineRule="atLeast"/>
        <w:jc w:val="right"/>
        <w:rPr>
          <w:rFonts w:ascii="Times New Roman" w:hAnsi="Times New Roman" w:cs="Times New Roman"/>
          <w:b/>
          <w:bCs/>
          <w:sz w:val="24"/>
          <w:szCs w:val="24"/>
          <w:u w:val="single"/>
          <w:lang w:eastAsia="mn-MN"/>
        </w:rPr>
      </w:pPr>
      <w:r w:rsidRPr="00D7796A">
        <w:rPr>
          <w:rFonts w:ascii="Times New Roman" w:hAnsi="Times New Roman" w:cs="Times New Roman"/>
          <w:b/>
          <w:bCs/>
          <w:sz w:val="24"/>
          <w:szCs w:val="24"/>
          <w:u w:val="single"/>
          <w:lang w:eastAsia="mn-MN"/>
        </w:rPr>
        <w:t>ХАВСРАЛТ 1</w:t>
      </w:r>
    </w:p>
    <w:p w14:paraId="3871ECAC" w14:textId="77777777" w:rsidR="00FD3E34" w:rsidRPr="000915D4" w:rsidRDefault="00FD3E34" w:rsidP="004D1DE6">
      <w:pPr>
        <w:jc w:val="both"/>
        <w:rPr>
          <w:rFonts w:ascii="Times New Roman" w:hAnsi="Times New Roman" w:cs="Times New Roman"/>
          <w:b/>
          <w:bCs/>
          <w:sz w:val="24"/>
          <w:szCs w:val="24"/>
        </w:rPr>
      </w:pPr>
      <w:r w:rsidRPr="000915D4">
        <w:rPr>
          <w:rFonts w:ascii="Times New Roman" w:hAnsi="Times New Roman" w:cs="Times New Roman"/>
          <w:b/>
          <w:bCs/>
          <w:sz w:val="24"/>
          <w:szCs w:val="24"/>
        </w:rPr>
        <w:t xml:space="preserve">NATIONAL SHOPPING </w:t>
      </w:r>
    </w:p>
    <w:p w14:paraId="7CC11C47" w14:textId="62F7CDA8" w:rsidR="002512E0" w:rsidRPr="00D7796A" w:rsidRDefault="002512E0" w:rsidP="002512E0">
      <w:pPr>
        <w:spacing w:line="240" w:lineRule="atLeast"/>
        <w:jc w:val="center"/>
        <w:rPr>
          <w:rFonts w:ascii="Times New Roman" w:hAnsi="Times New Roman" w:cs="Times New Roman"/>
          <w:b/>
          <w:sz w:val="24"/>
          <w:szCs w:val="24"/>
          <w:u w:val="single"/>
        </w:rPr>
      </w:pPr>
      <w:r w:rsidRPr="00D7796A">
        <w:rPr>
          <w:rFonts w:ascii="Times New Roman" w:hAnsi="Times New Roman" w:cs="Times New Roman"/>
          <w:b/>
          <w:sz w:val="24"/>
          <w:szCs w:val="24"/>
          <w:u w:val="single"/>
        </w:rPr>
        <w:t>БАРАА НИЙЛҮҮЛЭЛТИЙН НӨХЦӨЛ</w:t>
      </w:r>
    </w:p>
    <w:p w14:paraId="1766DDB6" w14:textId="760ED32A" w:rsidR="002512E0" w:rsidRPr="00D7796A" w:rsidRDefault="002512E0" w:rsidP="002512E0">
      <w:pPr>
        <w:jc w:val="center"/>
        <w:rPr>
          <w:rFonts w:ascii="Times New Roman" w:hAnsi="Times New Roman" w:cs="Times New Roman"/>
          <w:b/>
          <w:bCs/>
          <w:sz w:val="24"/>
          <w:szCs w:val="24"/>
          <w:lang w:eastAsia="x-none"/>
        </w:rPr>
      </w:pPr>
      <w:r w:rsidRPr="00D7796A">
        <w:rPr>
          <w:rFonts w:ascii="Times New Roman" w:hAnsi="Times New Roman" w:cs="Times New Roman"/>
          <w:b/>
          <w:sz w:val="24"/>
          <w:szCs w:val="24"/>
        </w:rPr>
        <w:t>(</w:t>
      </w:r>
      <w:r w:rsidR="00CC6FC2">
        <w:rPr>
          <w:rFonts w:ascii="Times New Roman" w:eastAsia="Times New Roman" w:hAnsi="Times New Roman" w:cs="Times New Roman"/>
          <w:b/>
          <w:bCs/>
          <w:sz w:val="24"/>
          <w:szCs w:val="24"/>
          <w:lang w:val="en-US" w:eastAsia="mn-MN"/>
        </w:rPr>
        <w:t>C4</w:t>
      </w:r>
      <w:r w:rsidR="00CC6FC2" w:rsidRPr="00D7796A">
        <w:rPr>
          <w:rFonts w:ascii="Times New Roman" w:eastAsia="Times New Roman" w:hAnsi="Times New Roman" w:cs="Times New Roman"/>
          <w:b/>
          <w:bCs/>
          <w:sz w:val="24"/>
          <w:szCs w:val="24"/>
          <w:lang w:eastAsia="mn-MN"/>
        </w:rPr>
        <w:t>/GO/00</w:t>
      </w:r>
      <w:r w:rsidR="00CC6FC2">
        <w:rPr>
          <w:rFonts w:ascii="Times New Roman" w:eastAsia="Times New Roman" w:hAnsi="Times New Roman" w:cs="Times New Roman"/>
          <w:b/>
          <w:bCs/>
          <w:sz w:val="24"/>
          <w:szCs w:val="24"/>
          <w:lang w:val="en-US" w:eastAsia="mn-MN"/>
        </w:rPr>
        <w:t>4</w:t>
      </w:r>
      <w:r w:rsidRPr="00D7796A">
        <w:rPr>
          <w:rFonts w:ascii="Times New Roman" w:hAnsi="Times New Roman" w:cs="Times New Roman"/>
          <w:b/>
          <w:sz w:val="24"/>
          <w:szCs w:val="24"/>
        </w:rPr>
        <w:t>)</w:t>
      </w:r>
    </w:p>
    <w:p w14:paraId="605443CA" w14:textId="49FBE06C" w:rsidR="002512E0" w:rsidRPr="00D7796A" w:rsidRDefault="002512E0" w:rsidP="002512E0">
      <w:pPr>
        <w:spacing w:line="240" w:lineRule="atLeast"/>
        <w:ind w:left="-90"/>
        <w:rPr>
          <w:rFonts w:ascii="Times New Roman" w:hAnsi="Times New Roman" w:cs="Times New Roman"/>
          <w:b/>
          <w:bCs/>
          <w:sz w:val="24"/>
          <w:szCs w:val="24"/>
        </w:rPr>
      </w:pPr>
      <w:r w:rsidRPr="00D7796A">
        <w:rPr>
          <w:rFonts w:ascii="Times New Roman" w:hAnsi="Times New Roman" w:cs="Times New Roman"/>
          <w:b/>
          <w:bCs/>
          <w:sz w:val="24"/>
          <w:szCs w:val="24"/>
        </w:rPr>
        <w:t xml:space="preserve">Захиалагч: </w:t>
      </w:r>
      <w:r w:rsidR="00CC6FC2">
        <w:rPr>
          <w:rFonts w:ascii="Times New Roman" w:eastAsia="Times New Roman" w:hAnsi="Times New Roman" w:cs="Times New Roman"/>
          <w:b/>
          <w:bCs/>
          <w:sz w:val="24"/>
          <w:szCs w:val="24"/>
          <w:lang w:val="en-US" w:eastAsia="mn-MN"/>
        </w:rPr>
        <w:t xml:space="preserve">C4 </w:t>
      </w:r>
      <w:r w:rsidR="00CC6FC2" w:rsidRPr="00D7796A">
        <w:rPr>
          <w:rFonts w:ascii="Times New Roman" w:eastAsia="Times New Roman" w:hAnsi="Times New Roman" w:cs="Times New Roman"/>
          <w:b/>
          <w:bCs/>
          <w:sz w:val="24"/>
          <w:szCs w:val="24"/>
          <w:lang w:eastAsia="mn-MN"/>
        </w:rPr>
        <w:t>дэд бүрэлдэхүүн</w:t>
      </w:r>
      <w:r w:rsidR="00CC6FC2" w:rsidRPr="00D7796A">
        <w:rPr>
          <w:rFonts w:ascii="Times New Roman" w:hAnsi="Times New Roman" w:cs="Times New Roman"/>
          <w:b/>
          <w:bCs/>
          <w:sz w:val="24"/>
          <w:szCs w:val="24"/>
        </w:rPr>
        <w:t xml:space="preserve"> </w:t>
      </w:r>
      <w:r w:rsidRPr="00D7796A">
        <w:rPr>
          <w:rFonts w:ascii="Times New Roman" w:hAnsi="Times New Roman" w:cs="Times New Roman"/>
          <w:b/>
          <w:bCs/>
          <w:sz w:val="24"/>
          <w:szCs w:val="24"/>
        </w:rPr>
        <w:t xml:space="preserve">хэсэг, </w:t>
      </w:r>
      <w:r w:rsidR="00CC6FC2">
        <w:rPr>
          <w:rFonts w:ascii="Times New Roman" w:hAnsi="Times New Roman" w:cs="Times New Roman"/>
          <w:b/>
          <w:bCs/>
          <w:sz w:val="24"/>
          <w:szCs w:val="24"/>
        </w:rPr>
        <w:t>ТСТББ</w:t>
      </w:r>
      <w:r w:rsidRPr="00D7796A">
        <w:rPr>
          <w:rFonts w:ascii="Times New Roman" w:hAnsi="Times New Roman" w:cs="Times New Roman"/>
          <w:b/>
          <w:bCs/>
          <w:sz w:val="24"/>
          <w:szCs w:val="24"/>
        </w:rPr>
        <w:t xml:space="preserve"> төсөл </w:t>
      </w:r>
    </w:p>
    <w:p w14:paraId="1BB990D3" w14:textId="77777777" w:rsidR="002512E0" w:rsidRPr="00D7796A" w:rsidRDefault="002512E0" w:rsidP="002512E0">
      <w:pPr>
        <w:numPr>
          <w:ilvl w:val="0"/>
          <w:numId w:val="5"/>
        </w:numPr>
        <w:spacing w:after="0" w:line="240" w:lineRule="atLeast"/>
        <w:jc w:val="both"/>
        <w:rPr>
          <w:rFonts w:ascii="Times New Roman" w:hAnsi="Times New Roman" w:cs="Times New Roman"/>
          <w:b/>
          <w:sz w:val="24"/>
          <w:szCs w:val="24"/>
        </w:rPr>
      </w:pPr>
      <w:r w:rsidRPr="00D7796A">
        <w:rPr>
          <w:rFonts w:ascii="Times New Roman" w:hAnsi="Times New Roman" w:cs="Times New Roman"/>
          <w:sz w:val="24"/>
          <w:szCs w:val="24"/>
        </w:rPr>
        <w:t xml:space="preserve">Бараа бүтээгдэхүүний үнийн жагсаалт: Доорх бараа бүтээгдэхүүнүүд нь </w:t>
      </w:r>
      <w:r w:rsidRPr="00D7796A">
        <w:rPr>
          <w:rFonts w:ascii="Times New Roman" w:hAnsi="Times New Roman" w:cs="Times New Roman"/>
          <w:b/>
          <w:bCs/>
          <w:sz w:val="24"/>
          <w:szCs w:val="24"/>
        </w:rPr>
        <w:t>нэг багц болно</w:t>
      </w:r>
      <w:r w:rsidRPr="00D7796A">
        <w:rPr>
          <w:rFonts w:ascii="Times New Roman" w:hAnsi="Times New Roman" w:cs="Times New Roman"/>
          <w:sz w:val="24"/>
          <w:szCs w:val="24"/>
        </w:rPr>
        <w:t>.</w:t>
      </w:r>
    </w:p>
    <w:tbl>
      <w:tblPr>
        <w:tblpPr w:leftFromText="180" w:rightFromText="180" w:vertAnchor="text" w:horzAnchor="margin" w:tblpY="217"/>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518"/>
        <w:gridCol w:w="1890"/>
        <w:gridCol w:w="1710"/>
        <w:gridCol w:w="1350"/>
        <w:gridCol w:w="1530"/>
      </w:tblGrid>
      <w:tr w:rsidR="00867F48" w:rsidRPr="00D7796A" w14:paraId="0C6C16B8" w14:textId="77777777" w:rsidTr="00867F48">
        <w:trPr>
          <w:trHeight w:val="420"/>
        </w:trPr>
        <w:tc>
          <w:tcPr>
            <w:tcW w:w="537" w:type="dxa"/>
            <w:vAlign w:val="center"/>
          </w:tcPr>
          <w:p w14:paraId="38F5AC78" w14:textId="77777777" w:rsidR="00867F48" w:rsidRPr="00D7796A" w:rsidRDefault="00867F48" w:rsidP="00D435D6">
            <w:pPr>
              <w:spacing w:before="20" w:after="20" w:line="240" w:lineRule="atLeast"/>
              <w:jc w:val="center"/>
              <w:rPr>
                <w:rFonts w:ascii="Times New Roman" w:hAnsi="Times New Roman" w:cs="Times New Roman"/>
                <w:b/>
                <w:sz w:val="23"/>
                <w:szCs w:val="23"/>
              </w:rPr>
            </w:pPr>
            <w:r w:rsidRPr="00D7796A">
              <w:rPr>
                <w:rFonts w:ascii="Times New Roman" w:hAnsi="Times New Roman" w:cs="Times New Roman"/>
                <w:b/>
                <w:sz w:val="23"/>
                <w:szCs w:val="23"/>
              </w:rPr>
              <w:t>№</w:t>
            </w:r>
          </w:p>
        </w:tc>
        <w:tc>
          <w:tcPr>
            <w:tcW w:w="2518" w:type="dxa"/>
            <w:vAlign w:val="center"/>
          </w:tcPr>
          <w:p w14:paraId="43E64BD0" w14:textId="77777777" w:rsidR="00867F48" w:rsidRPr="00D7796A" w:rsidRDefault="00867F48" w:rsidP="00D435D6">
            <w:pPr>
              <w:spacing w:before="20" w:after="20" w:line="240" w:lineRule="atLeast"/>
              <w:jc w:val="center"/>
              <w:rPr>
                <w:rFonts w:ascii="Times New Roman" w:hAnsi="Times New Roman" w:cs="Times New Roman"/>
                <w:b/>
                <w:sz w:val="23"/>
                <w:szCs w:val="23"/>
              </w:rPr>
            </w:pPr>
            <w:r w:rsidRPr="00D7796A">
              <w:rPr>
                <w:rFonts w:ascii="Times New Roman" w:hAnsi="Times New Roman" w:cs="Times New Roman"/>
                <w:b/>
                <w:sz w:val="23"/>
                <w:szCs w:val="23"/>
              </w:rPr>
              <w:t>Барааны нэр</w:t>
            </w:r>
          </w:p>
        </w:tc>
        <w:tc>
          <w:tcPr>
            <w:tcW w:w="1890" w:type="dxa"/>
            <w:vAlign w:val="center"/>
          </w:tcPr>
          <w:p w14:paraId="79B803BC" w14:textId="3C657BD6" w:rsidR="00867F48" w:rsidRPr="00D7796A" w:rsidRDefault="00867F48" w:rsidP="00D435D6">
            <w:pPr>
              <w:spacing w:before="20" w:after="20" w:line="240" w:lineRule="atLeast"/>
              <w:jc w:val="center"/>
              <w:rPr>
                <w:rFonts w:ascii="Times New Roman" w:hAnsi="Times New Roman" w:cs="Times New Roman"/>
                <w:b/>
                <w:sz w:val="23"/>
                <w:szCs w:val="23"/>
              </w:rPr>
            </w:pPr>
            <w:r w:rsidRPr="00D7796A">
              <w:rPr>
                <w:rFonts w:ascii="Times New Roman" w:hAnsi="Times New Roman" w:cs="Times New Roman"/>
                <w:b/>
                <w:sz w:val="23"/>
                <w:szCs w:val="23"/>
              </w:rPr>
              <w:t>Нэгжийн үнэ / НӨАТ-гүй төг/</w:t>
            </w:r>
          </w:p>
        </w:tc>
        <w:tc>
          <w:tcPr>
            <w:tcW w:w="1710" w:type="dxa"/>
            <w:vAlign w:val="center"/>
          </w:tcPr>
          <w:p w14:paraId="4DF96A3A" w14:textId="6C6F024C" w:rsidR="00867F48" w:rsidRPr="00D7796A" w:rsidRDefault="00867F48" w:rsidP="00D435D6">
            <w:pPr>
              <w:spacing w:before="20" w:after="20" w:line="240" w:lineRule="atLeast"/>
              <w:jc w:val="center"/>
              <w:rPr>
                <w:rFonts w:ascii="Times New Roman" w:hAnsi="Times New Roman" w:cs="Times New Roman"/>
                <w:b/>
                <w:sz w:val="23"/>
                <w:szCs w:val="23"/>
              </w:rPr>
            </w:pPr>
            <w:r w:rsidRPr="00D7796A">
              <w:rPr>
                <w:rFonts w:ascii="Times New Roman" w:hAnsi="Times New Roman" w:cs="Times New Roman"/>
                <w:b/>
                <w:sz w:val="23"/>
                <w:szCs w:val="23"/>
              </w:rPr>
              <w:t>Тоо ширхэг</w:t>
            </w:r>
          </w:p>
        </w:tc>
        <w:tc>
          <w:tcPr>
            <w:tcW w:w="1350" w:type="dxa"/>
            <w:vAlign w:val="center"/>
          </w:tcPr>
          <w:p w14:paraId="746D0BB5" w14:textId="5F3263EC" w:rsidR="00867F48" w:rsidRPr="00D7796A" w:rsidRDefault="00867F48" w:rsidP="00D435D6">
            <w:pPr>
              <w:spacing w:before="20" w:after="20" w:line="240" w:lineRule="atLeast"/>
              <w:jc w:val="center"/>
              <w:rPr>
                <w:rFonts w:ascii="Times New Roman" w:hAnsi="Times New Roman" w:cs="Times New Roman"/>
                <w:b/>
                <w:sz w:val="23"/>
                <w:szCs w:val="23"/>
              </w:rPr>
            </w:pPr>
            <w:r w:rsidRPr="00D7796A">
              <w:rPr>
                <w:rFonts w:ascii="Times New Roman" w:hAnsi="Times New Roman" w:cs="Times New Roman"/>
                <w:b/>
                <w:sz w:val="23"/>
                <w:szCs w:val="23"/>
              </w:rPr>
              <w:t xml:space="preserve">Нийт үнэ </w:t>
            </w:r>
          </w:p>
        </w:tc>
        <w:tc>
          <w:tcPr>
            <w:tcW w:w="1530" w:type="dxa"/>
            <w:vAlign w:val="center"/>
          </w:tcPr>
          <w:p w14:paraId="16671A63" w14:textId="77777777" w:rsidR="00867F48" w:rsidRPr="00D7796A" w:rsidRDefault="00867F48" w:rsidP="00D435D6">
            <w:pPr>
              <w:spacing w:before="20" w:after="20" w:line="240" w:lineRule="atLeast"/>
              <w:jc w:val="center"/>
              <w:rPr>
                <w:rFonts w:ascii="Times New Roman" w:hAnsi="Times New Roman" w:cs="Times New Roman"/>
                <w:b/>
                <w:sz w:val="23"/>
                <w:szCs w:val="23"/>
              </w:rPr>
            </w:pPr>
            <w:r w:rsidRPr="00D7796A">
              <w:rPr>
                <w:rFonts w:ascii="Times New Roman" w:hAnsi="Times New Roman" w:cs="Times New Roman"/>
                <w:b/>
                <w:sz w:val="23"/>
                <w:szCs w:val="23"/>
              </w:rPr>
              <w:t>Хүргэлтийн хуваарь</w:t>
            </w:r>
          </w:p>
        </w:tc>
      </w:tr>
      <w:tr w:rsidR="00867F48" w:rsidRPr="00D7796A" w14:paraId="3D2D8CAF" w14:textId="77777777" w:rsidTr="00867F48">
        <w:trPr>
          <w:trHeight w:val="551"/>
        </w:trPr>
        <w:tc>
          <w:tcPr>
            <w:tcW w:w="537" w:type="dxa"/>
            <w:vAlign w:val="center"/>
          </w:tcPr>
          <w:p w14:paraId="29B040A6" w14:textId="77777777" w:rsidR="00867F48" w:rsidRPr="00D7796A" w:rsidRDefault="00867F48" w:rsidP="00867F48">
            <w:pPr>
              <w:spacing w:before="20" w:after="20" w:line="240" w:lineRule="atLeast"/>
              <w:jc w:val="center"/>
              <w:rPr>
                <w:rFonts w:ascii="Times New Roman" w:hAnsi="Times New Roman" w:cs="Times New Roman"/>
                <w:sz w:val="23"/>
                <w:szCs w:val="23"/>
              </w:rPr>
            </w:pPr>
            <w:r w:rsidRPr="00D7796A">
              <w:rPr>
                <w:rFonts w:ascii="Times New Roman" w:hAnsi="Times New Roman" w:cs="Times New Roman"/>
                <w:sz w:val="23"/>
                <w:szCs w:val="23"/>
              </w:rPr>
              <w:t xml:space="preserve">1 </w:t>
            </w:r>
          </w:p>
        </w:tc>
        <w:tc>
          <w:tcPr>
            <w:tcW w:w="2518" w:type="dxa"/>
            <w:tcBorders>
              <w:bottom w:val="nil"/>
            </w:tcBorders>
            <w:vAlign w:val="center"/>
          </w:tcPr>
          <w:p w14:paraId="503C0064" w14:textId="77777777" w:rsidR="00867F48" w:rsidRDefault="00867F48" w:rsidP="00867F48">
            <w:pPr>
              <w:spacing w:after="0" w:line="240" w:lineRule="auto"/>
              <w:rPr>
                <w:rFonts w:ascii="Times New Roman" w:hAnsi="Times New Roman"/>
                <w:color w:val="000000"/>
              </w:rPr>
            </w:pPr>
            <w:r>
              <w:rPr>
                <w:rFonts w:ascii="Times New Roman" w:hAnsi="Times New Roman"/>
                <w:color w:val="000000"/>
              </w:rPr>
              <w:t>Compilation Volume I</w:t>
            </w:r>
          </w:p>
          <w:p w14:paraId="69ACF5CC" w14:textId="28E7E17C" w:rsidR="00867F48" w:rsidRPr="00D7796A" w:rsidRDefault="00867F48" w:rsidP="00867F48">
            <w:pPr>
              <w:spacing w:before="20" w:after="20" w:line="240" w:lineRule="atLeast"/>
              <w:rPr>
                <w:rFonts w:ascii="Times New Roman" w:hAnsi="Times New Roman" w:cs="Times New Roman"/>
                <w:sz w:val="23"/>
                <w:szCs w:val="23"/>
              </w:rPr>
            </w:pPr>
            <w:r>
              <w:rPr>
                <w:rFonts w:ascii="Times New Roman" w:hAnsi="Times New Roman"/>
                <w:color w:val="000000"/>
              </w:rPr>
              <w:t>Insurance market</w:t>
            </w:r>
          </w:p>
        </w:tc>
        <w:tc>
          <w:tcPr>
            <w:tcW w:w="1890" w:type="dxa"/>
            <w:vAlign w:val="center"/>
          </w:tcPr>
          <w:p w14:paraId="2697656A" w14:textId="77777777" w:rsidR="00867F48" w:rsidRPr="00D7796A" w:rsidRDefault="00867F48" w:rsidP="00867F48">
            <w:pPr>
              <w:spacing w:before="20" w:after="20"/>
              <w:jc w:val="center"/>
              <w:rPr>
                <w:rFonts w:ascii="Times New Roman" w:hAnsi="Times New Roman" w:cs="Times New Roman"/>
                <w:sz w:val="23"/>
                <w:szCs w:val="23"/>
              </w:rPr>
            </w:pPr>
          </w:p>
        </w:tc>
        <w:tc>
          <w:tcPr>
            <w:tcW w:w="1710" w:type="dxa"/>
            <w:vAlign w:val="center"/>
          </w:tcPr>
          <w:p w14:paraId="61F94744" w14:textId="1A147EEB" w:rsidR="00867F48" w:rsidRPr="00D7796A" w:rsidRDefault="00867F48" w:rsidP="00867F48">
            <w:pPr>
              <w:spacing w:before="20" w:after="20" w:line="240" w:lineRule="atLeast"/>
              <w:jc w:val="center"/>
              <w:rPr>
                <w:rFonts w:ascii="Times New Roman" w:hAnsi="Times New Roman" w:cs="Times New Roman"/>
                <w:sz w:val="23"/>
                <w:szCs w:val="23"/>
              </w:rPr>
            </w:pPr>
            <w:r>
              <w:rPr>
                <w:rFonts w:ascii="Times New Roman" w:hAnsi="Times New Roman"/>
              </w:rPr>
              <w:t>500</w:t>
            </w:r>
          </w:p>
        </w:tc>
        <w:tc>
          <w:tcPr>
            <w:tcW w:w="1350" w:type="dxa"/>
            <w:vAlign w:val="center"/>
          </w:tcPr>
          <w:p w14:paraId="332FDA90" w14:textId="77777777" w:rsidR="00867F48" w:rsidRPr="00D7796A" w:rsidRDefault="00867F48" w:rsidP="00867F48">
            <w:pPr>
              <w:spacing w:before="20" w:after="20"/>
              <w:jc w:val="center"/>
              <w:rPr>
                <w:rFonts w:ascii="Times New Roman" w:hAnsi="Times New Roman" w:cs="Times New Roman"/>
                <w:sz w:val="23"/>
                <w:szCs w:val="23"/>
              </w:rPr>
            </w:pPr>
          </w:p>
        </w:tc>
        <w:tc>
          <w:tcPr>
            <w:tcW w:w="1530" w:type="dxa"/>
            <w:vMerge w:val="restart"/>
            <w:vAlign w:val="center"/>
          </w:tcPr>
          <w:p w14:paraId="4DE09E81" w14:textId="77777777" w:rsidR="00867F48" w:rsidRPr="00D7796A" w:rsidRDefault="00867F48" w:rsidP="00867F48">
            <w:pPr>
              <w:spacing w:before="20" w:after="20" w:line="240" w:lineRule="atLeast"/>
              <w:jc w:val="center"/>
              <w:rPr>
                <w:rFonts w:ascii="Times New Roman" w:hAnsi="Times New Roman" w:cs="Times New Roman"/>
                <w:color w:val="FF0000"/>
                <w:sz w:val="23"/>
                <w:szCs w:val="23"/>
              </w:rPr>
            </w:pPr>
            <w:r w:rsidRPr="00D7796A">
              <w:rPr>
                <w:rFonts w:ascii="Times New Roman" w:hAnsi="Times New Roman" w:cs="Times New Roman"/>
                <w:sz w:val="23"/>
                <w:szCs w:val="23"/>
              </w:rPr>
              <w:t>Гэрээ байгуулснаас хуанлийн 30 хоногийн дотор</w:t>
            </w:r>
          </w:p>
        </w:tc>
      </w:tr>
      <w:tr w:rsidR="00867F48" w:rsidRPr="00D7796A" w14:paraId="3E068558" w14:textId="77777777" w:rsidTr="00867F48">
        <w:trPr>
          <w:trHeight w:val="551"/>
        </w:trPr>
        <w:tc>
          <w:tcPr>
            <w:tcW w:w="537" w:type="dxa"/>
            <w:vAlign w:val="center"/>
          </w:tcPr>
          <w:p w14:paraId="177AFCE7" w14:textId="77777777" w:rsidR="00867F48" w:rsidRPr="00D7796A" w:rsidRDefault="00867F48" w:rsidP="00867F48">
            <w:pPr>
              <w:spacing w:before="20" w:after="20" w:line="240" w:lineRule="atLeast"/>
              <w:jc w:val="center"/>
              <w:rPr>
                <w:rFonts w:ascii="Times New Roman" w:hAnsi="Times New Roman" w:cs="Times New Roman"/>
                <w:sz w:val="23"/>
                <w:szCs w:val="23"/>
              </w:rPr>
            </w:pPr>
            <w:r w:rsidRPr="00D7796A">
              <w:rPr>
                <w:rFonts w:ascii="Times New Roman" w:hAnsi="Times New Roman" w:cs="Times New Roman"/>
                <w:sz w:val="23"/>
                <w:szCs w:val="23"/>
              </w:rPr>
              <w:t>2</w:t>
            </w:r>
          </w:p>
        </w:tc>
        <w:tc>
          <w:tcPr>
            <w:tcW w:w="2518" w:type="dxa"/>
            <w:tcBorders>
              <w:bottom w:val="nil"/>
            </w:tcBorders>
            <w:vAlign w:val="center"/>
          </w:tcPr>
          <w:p w14:paraId="4996E920" w14:textId="77777777" w:rsidR="00867F48" w:rsidRDefault="00867F48" w:rsidP="00867F48">
            <w:pPr>
              <w:spacing w:after="0" w:line="240" w:lineRule="auto"/>
              <w:rPr>
                <w:rFonts w:ascii="Times New Roman" w:hAnsi="Times New Roman"/>
                <w:color w:val="000000"/>
              </w:rPr>
            </w:pPr>
            <w:r>
              <w:rPr>
                <w:rFonts w:ascii="Times New Roman" w:hAnsi="Times New Roman"/>
                <w:color w:val="000000"/>
              </w:rPr>
              <w:t>Compilation Volume II</w:t>
            </w:r>
          </w:p>
          <w:p w14:paraId="6444EFE6" w14:textId="3D7A510F" w:rsidR="00867F48" w:rsidRPr="00D7796A" w:rsidRDefault="00867F48" w:rsidP="00867F48">
            <w:pPr>
              <w:spacing w:before="20" w:after="20" w:line="240" w:lineRule="atLeast"/>
              <w:rPr>
                <w:rFonts w:ascii="Times New Roman" w:hAnsi="Times New Roman" w:cs="Times New Roman"/>
                <w:sz w:val="23"/>
                <w:szCs w:val="23"/>
              </w:rPr>
            </w:pPr>
            <w:r>
              <w:rPr>
                <w:rFonts w:ascii="Times New Roman" w:hAnsi="Times New Roman"/>
                <w:color w:val="000000"/>
              </w:rPr>
              <w:t>Securities market</w:t>
            </w:r>
          </w:p>
        </w:tc>
        <w:tc>
          <w:tcPr>
            <w:tcW w:w="1890" w:type="dxa"/>
            <w:vAlign w:val="center"/>
          </w:tcPr>
          <w:p w14:paraId="158614E8" w14:textId="77777777" w:rsidR="00867F48" w:rsidRPr="00D7796A" w:rsidRDefault="00867F48" w:rsidP="00867F48">
            <w:pPr>
              <w:spacing w:before="20" w:after="20"/>
              <w:jc w:val="center"/>
              <w:rPr>
                <w:rFonts w:ascii="Times New Roman" w:hAnsi="Times New Roman" w:cs="Times New Roman"/>
                <w:sz w:val="23"/>
                <w:szCs w:val="23"/>
              </w:rPr>
            </w:pPr>
          </w:p>
        </w:tc>
        <w:tc>
          <w:tcPr>
            <w:tcW w:w="1710" w:type="dxa"/>
            <w:vAlign w:val="center"/>
          </w:tcPr>
          <w:p w14:paraId="74A51D2A" w14:textId="374E50E8" w:rsidR="00867F48" w:rsidRPr="00D7796A" w:rsidRDefault="00867F48" w:rsidP="00867F48">
            <w:pPr>
              <w:spacing w:before="20" w:after="20" w:line="240" w:lineRule="atLeast"/>
              <w:jc w:val="center"/>
              <w:rPr>
                <w:rFonts w:ascii="Times New Roman" w:hAnsi="Times New Roman" w:cs="Times New Roman"/>
                <w:sz w:val="23"/>
                <w:szCs w:val="23"/>
              </w:rPr>
            </w:pPr>
            <w:r>
              <w:rPr>
                <w:rFonts w:ascii="Times New Roman" w:hAnsi="Times New Roman"/>
              </w:rPr>
              <w:t>500</w:t>
            </w:r>
          </w:p>
        </w:tc>
        <w:tc>
          <w:tcPr>
            <w:tcW w:w="1350" w:type="dxa"/>
            <w:vAlign w:val="center"/>
          </w:tcPr>
          <w:p w14:paraId="7D5CD8A7" w14:textId="77777777" w:rsidR="00867F48" w:rsidRPr="00D7796A" w:rsidRDefault="00867F48" w:rsidP="00867F48">
            <w:pPr>
              <w:spacing w:before="20" w:after="20"/>
              <w:jc w:val="center"/>
              <w:rPr>
                <w:rFonts w:ascii="Times New Roman" w:hAnsi="Times New Roman" w:cs="Times New Roman"/>
                <w:sz w:val="23"/>
                <w:szCs w:val="23"/>
              </w:rPr>
            </w:pPr>
          </w:p>
        </w:tc>
        <w:tc>
          <w:tcPr>
            <w:tcW w:w="1530" w:type="dxa"/>
            <w:vMerge/>
            <w:vAlign w:val="center"/>
          </w:tcPr>
          <w:p w14:paraId="6DF07D5F" w14:textId="77777777" w:rsidR="00867F48" w:rsidRPr="00D7796A" w:rsidRDefault="00867F48" w:rsidP="00867F48">
            <w:pPr>
              <w:spacing w:before="20" w:after="20" w:line="240" w:lineRule="atLeast"/>
              <w:jc w:val="center"/>
              <w:rPr>
                <w:rFonts w:ascii="Times New Roman" w:hAnsi="Times New Roman" w:cs="Times New Roman"/>
                <w:sz w:val="23"/>
                <w:szCs w:val="23"/>
              </w:rPr>
            </w:pPr>
          </w:p>
        </w:tc>
      </w:tr>
      <w:tr w:rsidR="00867F48" w:rsidRPr="00D7796A" w14:paraId="78C30FA9" w14:textId="77777777" w:rsidTr="00867F48">
        <w:trPr>
          <w:trHeight w:val="551"/>
        </w:trPr>
        <w:tc>
          <w:tcPr>
            <w:tcW w:w="537" w:type="dxa"/>
            <w:vAlign w:val="center"/>
          </w:tcPr>
          <w:p w14:paraId="1B366719" w14:textId="77777777" w:rsidR="00867F48" w:rsidRPr="00D7796A" w:rsidRDefault="00867F48" w:rsidP="00867F48">
            <w:pPr>
              <w:spacing w:before="20" w:after="20" w:line="240" w:lineRule="atLeast"/>
              <w:jc w:val="center"/>
              <w:rPr>
                <w:rFonts w:ascii="Times New Roman" w:hAnsi="Times New Roman" w:cs="Times New Roman"/>
                <w:sz w:val="23"/>
                <w:szCs w:val="23"/>
              </w:rPr>
            </w:pPr>
            <w:r w:rsidRPr="00D7796A">
              <w:rPr>
                <w:rFonts w:ascii="Times New Roman" w:hAnsi="Times New Roman" w:cs="Times New Roman"/>
                <w:sz w:val="23"/>
                <w:szCs w:val="23"/>
              </w:rPr>
              <w:t>3</w:t>
            </w:r>
          </w:p>
        </w:tc>
        <w:tc>
          <w:tcPr>
            <w:tcW w:w="2518" w:type="dxa"/>
            <w:tcBorders>
              <w:bottom w:val="nil"/>
            </w:tcBorders>
            <w:vAlign w:val="center"/>
          </w:tcPr>
          <w:p w14:paraId="2DD045B0" w14:textId="77777777" w:rsidR="00867F48" w:rsidRDefault="00867F48" w:rsidP="00867F48">
            <w:pPr>
              <w:spacing w:after="0" w:line="240" w:lineRule="auto"/>
              <w:rPr>
                <w:rFonts w:ascii="Times New Roman" w:hAnsi="Times New Roman"/>
                <w:color w:val="000000"/>
              </w:rPr>
            </w:pPr>
            <w:r>
              <w:rPr>
                <w:rFonts w:ascii="Times New Roman" w:hAnsi="Times New Roman"/>
                <w:color w:val="000000"/>
              </w:rPr>
              <w:t>Compilation Volume III</w:t>
            </w:r>
          </w:p>
          <w:p w14:paraId="111DF3AA" w14:textId="2A0E39C5" w:rsidR="00867F48" w:rsidRPr="00D7796A" w:rsidRDefault="00867F48" w:rsidP="00867F48">
            <w:pPr>
              <w:spacing w:before="20" w:after="20" w:line="240" w:lineRule="atLeast"/>
              <w:rPr>
                <w:rFonts w:ascii="Times New Roman" w:hAnsi="Times New Roman" w:cs="Times New Roman"/>
                <w:sz w:val="23"/>
                <w:szCs w:val="23"/>
              </w:rPr>
            </w:pPr>
            <w:r>
              <w:rPr>
                <w:rFonts w:ascii="Times New Roman" w:hAnsi="Times New Roman"/>
                <w:color w:val="000000"/>
              </w:rPr>
              <w:t>REAs, DPMS, AML/CFT</w:t>
            </w:r>
          </w:p>
        </w:tc>
        <w:tc>
          <w:tcPr>
            <w:tcW w:w="1890" w:type="dxa"/>
            <w:vAlign w:val="center"/>
          </w:tcPr>
          <w:p w14:paraId="52116DB4" w14:textId="77777777" w:rsidR="00867F48" w:rsidRPr="00D7796A" w:rsidRDefault="00867F48" w:rsidP="00867F48">
            <w:pPr>
              <w:spacing w:before="20" w:after="20"/>
              <w:jc w:val="center"/>
              <w:rPr>
                <w:rFonts w:ascii="Times New Roman" w:hAnsi="Times New Roman" w:cs="Times New Roman"/>
                <w:sz w:val="23"/>
                <w:szCs w:val="23"/>
              </w:rPr>
            </w:pPr>
          </w:p>
        </w:tc>
        <w:tc>
          <w:tcPr>
            <w:tcW w:w="1710" w:type="dxa"/>
            <w:vAlign w:val="center"/>
          </w:tcPr>
          <w:p w14:paraId="7EAF1AE5" w14:textId="7AA689B2" w:rsidR="00867F48" w:rsidRPr="00D7796A" w:rsidRDefault="00867F48" w:rsidP="00867F48">
            <w:pPr>
              <w:spacing w:before="20" w:after="20" w:line="240" w:lineRule="atLeast"/>
              <w:jc w:val="center"/>
              <w:rPr>
                <w:rFonts w:ascii="Times New Roman" w:hAnsi="Times New Roman" w:cs="Times New Roman"/>
                <w:sz w:val="23"/>
                <w:szCs w:val="23"/>
              </w:rPr>
            </w:pPr>
            <w:r>
              <w:rPr>
                <w:rFonts w:ascii="Times New Roman" w:hAnsi="Times New Roman"/>
              </w:rPr>
              <w:t>500</w:t>
            </w:r>
          </w:p>
        </w:tc>
        <w:tc>
          <w:tcPr>
            <w:tcW w:w="1350" w:type="dxa"/>
            <w:vAlign w:val="center"/>
          </w:tcPr>
          <w:p w14:paraId="1EA7B336" w14:textId="77777777" w:rsidR="00867F48" w:rsidRPr="00D7796A" w:rsidRDefault="00867F48" w:rsidP="00867F48">
            <w:pPr>
              <w:spacing w:before="20" w:after="20"/>
              <w:jc w:val="center"/>
              <w:rPr>
                <w:rFonts w:ascii="Times New Roman" w:hAnsi="Times New Roman" w:cs="Times New Roman"/>
                <w:sz w:val="23"/>
                <w:szCs w:val="23"/>
              </w:rPr>
            </w:pPr>
          </w:p>
        </w:tc>
        <w:tc>
          <w:tcPr>
            <w:tcW w:w="1530" w:type="dxa"/>
            <w:vMerge/>
            <w:vAlign w:val="center"/>
          </w:tcPr>
          <w:p w14:paraId="2292E760" w14:textId="77777777" w:rsidR="00867F48" w:rsidRPr="00D7796A" w:rsidRDefault="00867F48" w:rsidP="00867F48">
            <w:pPr>
              <w:spacing w:before="20" w:after="20" w:line="240" w:lineRule="atLeast"/>
              <w:jc w:val="center"/>
              <w:rPr>
                <w:rFonts w:ascii="Times New Roman" w:hAnsi="Times New Roman" w:cs="Times New Roman"/>
                <w:sz w:val="23"/>
                <w:szCs w:val="23"/>
              </w:rPr>
            </w:pPr>
          </w:p>
        </w:tc>
      </w:tr>
      <w:tr w:rsidR="002512E0" w:rsidRPr="00D7796A" w14:paraId="0ECA313C" w14:textId="77777777" w:rsidTr="00B72AB0">
        <w:trPr>
          <w:trHeight w:val="50"/>
        </w:trPr>
        <w:tc>
          <w:tcPr>
            <w:tcW w:w="6655" w:type="dxa"/>
            <w:gridSpan w:val="4"/>
            <w:vAlign w:val="center"/>
          </w:tcPr>
          <w:p w14:paraId="38E70479" w14:textId="77777777" w:rsidR="002512E0" w:rsidRPr="00D7796A" w:rsidRDefault="002512E0" w:rsidP="00D435D6">
            <w:pPr>
              <w:spacing w:before="20" w:after="20" w:line="240" w:lineRule="atLeast"/>
              <w:jc w:val="center"/>
              <w:rPr>
                <w:rFonts w:ascii="Times New Roman" w:hAnsi="Times New Roman" w:cs="Times New Roman"/>
                <w:sz w:val="23"/>
                <w:szCs w:val="23"/>
              </w:rPr>
            </w:pPr>
            <w:r w:rsidRPr="00D7796A">
              <w:rPr>
                <w:rFonts w:ascii="Times New Roman" w:hAnsi="Times New Roman" w:cs="Times New Roman"/>
                <w:b/>
                <w:sz w:val="23"/>
                <w:szCs w:val="23"/>
              </w:rPr>
              <w:t>Total</w:t>
            </w:r>
          </w:p>
        </w:tc>
        <w:tc>
          <w:tcPr>
            <w:tcW w:w="1350" w:type="dxa"/>
            <w:vAlign w:val="center"/>
          </w:tcPr>
          <w:p w14:paraId="11A36981" w14:textId="77777777" w:rsidR="002512E0" w:rsidRPr="00D7796A" w:rsidRDefault="002512E0" w:rsidP="00D435D6">
            <w:pPr>
              <w:spacing w:before="20" w:after="20"/>
              <w:rPr>
                <w:rFonts w:ascii="Times New Roman" w:hAnsi="Times New Roman" w:cs="Times New Roman"/>
                <w:b/>
                <w:bCs/>
                <w:color w:val="000000"/>
                <w:sz w:val="23"/>
                <w:szCs w:val="23"/>
              </w:rPr>
            </w:pPr>
          </w:p>
        </w:tc>
        <w:tc>
          <w:tcPr>
            <w:tcW w:w="1530" w:type="dxa"/>
          </w:tcPr>
          <w:p w14:paraId="451341A5" w14:textId="77777777" w:rsidR="002512E0" w:rsidRPr="00D7796A" w:rsidRDefault="002512E0" w:rsidP="00D435D6">
            <w:pPr>
              <w:spacing w:before="20" w:after="20" w:line="240" w:lineRule="atLeast"/>
              <w:jc w:val="center"/>
              <w:rPr>
                <w:rFonts w:ascii="Times New Roman" w:hAnsi="Times New Roman" w:cs="Times New Roman"/>
                <w:sz w:val="23"/>
                <w:szCs w:val="23"/>
              </w:rPr>
            </w:pPr>
          </w:p>
        </w:tc>
      </w:tr>
    </w:tbl>
    <w:p w14:paraId="7DCF798C" w14:textId="77777777" w:rsidR="002512E0" w:rsidRPr="00D7796A" w:rsidRDefault="002512E0" w:rsidP="002512E0">
      <w:pPr>
        <w:spacing w:line="240" w:lineRule="atLeast"/>
        <w:jc w:val="both"/>
        <w:rPr>
          <w:rFonts w:ascii="Times New Roman" w:hAnsi="Times New Roman" w:cs="Times New Roman"/>
          <w:b/>
          <w:i/>
          <w:sz w:val="24"/>
          <w:szCs w:val="24"/>
          <w:u w:val="single"/>
        </w:rPr>
      </w:pPr>
      <w:r w:rsidRPr="00D7796A">
        <w:rPr>
          <w:rFonts w:ascii="Times New Roman" w:hAnsi="Times New Roman" w:cs="Times New Roman"/>
          <w:i/>
          <w:sz w:val="24"/>
          <w:szCs w:val="24"/>
        </w:rPr>
        <w:t>{Тэмдэглэл: Нэгж үнэ болон нэгж үнээс тооцсон нийт үнийн дүнгийн хооронд зөрүү гарсан бол НӨАТ-ыг оруулаагүй нэгж үнийг ашиглана }</w:t>
      </w:r>
    </w:p>
    <w:p w14:paraId="1B76FD40" w14:textId="0C8B780F" w:rsidR="002512E0" w:rsidRPr="00D7796A" w:rsidRDefault="002512E0" w:rsidP="002512E0">
      <w:pPr>
        <w:spacing w:before="40" w:after="40" w:line="240" w:lineRule="atLeast"/>
        <w:rPr>
          <w:rFonts w:ascii="Times New Roman" w:hAnsi="Times New Roman" w:cs="Times New Roman"/>
          <w:sz w:val="24"/>
          <w:szCs w:val="24"/>
        </w:rPr>
      </w:pPr>
      <w:r w:rsidRPr="00D7796A">
        <w:rPr>
          <w:rFonts w:ascii="Times New Roman" w:hAnsi="Times New Roman" w:cs="Times New Roman"/>
          <w:sz w:val="24"/>
          <w:szCs w:val="24"/>
        </w:rPr>
        <w:tab/>
      </w:r>
      <w:r w:rsidRPr="00D7796A">
        <w:rPr>
          <w:rFonts w:ascii="Times New Roman" w:hAnsi="Times New Roman" w:cs="Times New Roman"/>
          <w:sz w:val="24"/>
          <w:szCs w:val="24"/>
          <w:u w:val="single"/>
        </w:rPr>
        <w:t xml:space="preserve">Сэлбэг, эд анги </w:t>
      </w:r>
      <w:r w:rsidRPr="00D7796A">
        <w:rPr>
          <w:rFonts w:ascii="Times New Roman" w:hAnsi="Times New Roman" w:cs="Times New Roman"/>
          <w:sz w:val="24"/>
          <w:szCs w:val="24"/>
        </w:rPr>
        <w:tab/>
      </w:r>
      <w:r w:rsidRPr="00D7796A">
        <w:rPr>
          <w:rFonts w:ascii="Times New Roman" w:hAnsi="Times New Roman" w:cs="Times New Roman"/>
          <w:sz w:val="24"/>
          <w:szCs w:val="24"/>
        </w:rPr>
        <w:tab/>
        <w:t xml:space="preserve">                  </w:t>
      </w:r>
      <w:r w:rsidR="004501D6">
        <w:rPr>
          <w:rFonts w:ascii="Times New Roman" w:hAnsi="Times New Roman" w:cs="Times New Roman"/>
          <w:sz w:val="24"/>
          <w:szCs w:val="24"/>
        </w:rPr>
        <w:tab/>
      </w:r>
      <w:r w:rsidRPr="00D7796A">
        <w:rPr>
          <w:rFonts w:ascii="Times New Roman" w:hAnsi="Times New Roman" w:cs="Times New Roman"/>
          <w:sz w:val="24"/>
          <w:szCs w:val="24"/>
        </w:rPr>
        <w:t>}</w:t>
      </w:r>
    </w:p>
    <w:p w14:paraId="3EDE50CC" w14:textId="41CE0DAA" w:rsidR="002512E0" w:rsidRPr="00D7796A" w:rsidRDefault="002512E0" w:rsidP="002512E0">
      <w:pPr>
        <w:spacing w:before="40" w:after="40" w:line="240" w:lineRule="atLeast"/>
        <w:rPr>
          <w:rFonts w:ascii="Times New Roman" w:hAnsi="Times New Roman" w:cs="Times New Roman"/>
          <w:sz w:val="24"/>
          <w:szCs w:val="24"/>
        </w:rPr>
      </w:pPr>
      <w:r w:rsidRPr="00D7796A">
        <w:rPr>
          <w:rFonts w:ascii="Times New Roman" w:hAnsi="Times New Roman" w:cs="Times New Roman"/>
          <w:sz w:val="24"/>
          <w:szCs w:val="24"/>
        </w:rPr>
        <w:tab/>
      </w:r>
      <w:r w:rsidRPr="00D7796A">
        <w:rPr>
          <w:rFonts w:ascii="Times New Roman" w:hAnsi="Times New Roman" w:cs="Times New Roman"/>
          <w:sz w:val="24"/>
          <w:szCs w:val="24"/>
          <w:u w:val="single"/>
        </w:rPr>
        <w:t xml:space="preserve">Туслах хэрэгслүүд </w:t>
      </w:r>
      <w:r w:rsidRPr="00D7796A">
        <w:rPr>
          <w:rFonts w:ascii="Times New Roman" w:hAnsi="Times New Roman" w:cs="Times New Roman"/>
          <w:sz w:val="24"/>
          <w:szCs w:val="24"/>
        </w:rPr>
        <w:tab/>
      </w:r>
      <w:r w:rsidRPr="00D7796A">
        <w:rPr>
          <w:rFonts w:ascii="Times New Roman" w:hAnsi="Times New Roman" w:cs="Times New Roman"/>
          <w:sz w:val="24"/>
          <w:szCs w:val="24"/>
        </w:rPr>
        <w:tab/>
        <w:t xml:space="preserve">                   </w:t>
      </w:r>
      <w:r w:rsidR="004501D6">
        <w:rPr>
          <w:rFonts w:ascii="Times New Roman" w:hAnsi="Times New Roman" w:cs="Times New Roman"/>
          <w:sz w:val="24"/>
          <w:szCs w:val="24"/>
        </w:rPr>
        <w:tab/>
      </w:r>
      <w:r w:rsidRPr="00D7796A">
        <w:rPr>
          <w:rFonts w:ascii="Times New Roman" w:hAnsi="Times New Roman" w:cs="Times New Roman"/>
          <w:sz w:val="24"/>
          <w:szCs w:val="24"/>
        </w:rPr>
        <w:t>}</w:t>
      </w:r>
    </w:p>
    <w:p w14:paraId="71CE8610" w14:textId="7B0C077D" w:rsidR="002512E0" w:rsidRPr="00D7796A" w:rsidRDefault="002512E0" w:rsidP="002512E0">
      <w:pPr>
        <w:spacing w:before="40" w:after="40" w:line="240" w:lineRule="atLeast"/>
        <w:ind w:firstLine="720"/>
        <w:rPr>
          <w:rFonts w:ascii="Times New Roman" w:hAnsi="Times New Roman" w:cs="Times New Roman"/>
          <w:sz w:val="24"/>
          <w:szCs w:val="24"/>
        </w:rPr>
      </w:pPr>
      <w:r w:rsidRPr="00D7796A">
        <w:rPr>
          <w:rFonts w:ascii="Times New Roman" w:hAnsi="Times New Roman" w:cs="Times New Roman"/>
          <w:sz w:val="24"/>
          <w:szCs w:val="24"/>
          <w:u w:val="single"/>
        </w:rPr>
        <w:t>Гарын авлага</w:t>
      </w:r>
      <w:r w:rsidRPr="00D7796A">
        <w:rPr>
          <w:rFonts w:ascii="Times New Roman" w:hAnsi="Times New Roman" w:cs="Times New Roman"/>
          <w:sz w:val="24"/>
          <w:szCs w:val="24"/>
        </w:rPr>
        <w:tab/>
      </w:r>
      <w:r w:rsidRPr="00D7796A">
        <w:rPr>
          <w:rFonts w:ascii="Times New Roman" w:hAnsi="Times New Roman" w:cs="Times New Roman"/>
          <w:sz w:val="24"/>
          <w:szCs w:val="24"/>
        </w:rPr>
        <w:tab/>
      </w:r>
      <w:r w:rsidRPr="00D7796A">
        <w:rPr>
          <w:rFonts w:ascii="Times New Roman" w:hAnsi="Times New Roman" w:cs="Times New Roman"/>
          <w:sz w:val="24"/>
          <w:szCs w:val="24"/>
        </w:rPr>
        <w:tab/>
        <w:t xml:space="preserve">                   </w:t>
      </w:r>
      <w:r w:rsidR="004501D6">
        <w:rPr>
          <w:rFonts w:ascii="Times New Roman" w:hAnsi="Times New Roman" w:cs="Times New Roman"/>
          <w:sz w:val="24"/>
          <w:szCs w:val="24"/>
        </w:rPr>
        <w:tab/>
      </w:r>
      <w:r w:rsidRPr="00D7796A">
        <w:rPr>
          <w:rFonts w:ascii="Times New Roman" w:hAnsi="Times New Roman" w:cs="Times New Roman"/>
          <w:sz w:val="24"/>
          <w:szCs w:val="24"/>
        </w:rPr>
        <w:t>} Боломжтой бол заана уу.</w:t>
      </w:r>
    </w:p>
    <w:p w14:paraId="1AF9F97E" w14:textId="435AC6DA" w:rsidR="002512E0" w:rsidRPr="00D7796A" w:rsidRDefault="002512E0" w:rsidP="002512E0">
      <w:pPr>
        <w:spacing w:before="40" w:after="40" w:line="240" w:lineRule="atLeast"/>
        <w:ind w:firstLine="720"/>
        <w:rPr>
          <w:rFonts w:ascii="Times New Roman" w:hAnsi="Times New Roman" w:cs="Times New Roman"/>
          <w:sz w:val="24"/>
          <w:szCs w:val="24"/>
        </w:rPr>
      </w:pPr>
      <w:r w:rsidRPr="00D7796A">
        <w:rPr>
          <w:rFonts w:ascii="Times New Roman" w:hAnsi="Times New Roman" w:cs="Times New Roman"/>
          <w:sz w:val="24"/>
          <w:szCs w:val="24"/>
          <w:u w:val="single"/>
        </w:rPr>
        <w:t>Засвар үйлчилгээнд тавигдах шаардлага</w:t>
      </w:r>
      <w:r w:rsidRPr="00D7796A">
        <w:rPr>
          <w:rFonts w:ascii="Times New Roman" w:hAnsi="Times New Roman" w:cs="Times New Roman"/>
          <w:sz w:val="24"/>
          <w:szCs w:val="24"/>
        </w:rPr>
        <w:t xml:space="preserve"> </w:t>
      </w:r>
      <w:r w:rsidR="004501D6">
        <w:rPr>
          <w:rFonts w:ascii="Times New Roman" w:hAnsi="Times New Roman" w:cs="Times New Roman"/>
          <w:sz w:val="24"/>
          <w:szCs w:val="24"/>
        </w:rPr>
        <w:tab/>
      </w:r>
      <w:r w:rsidRPr="00D7796A">
        <w:rPr>
          <w:rFonts w:ascii="Times New Roman" w:hAnsi="Times New Roman" w:cs="Times New Roman"/>
          <w:sz w:val="24"/>
          <w:szCs w:val="24"/>
        </w:rPr>
        <w:t>}</w:t>
      </w:r>
    </w:p>
    <w:p w14:paraId="02E51CFC" w14:textId="77777777" w:rsidR="002512E0" w:rsidRPr="00D7796A" w:rsidRDefault="002512E0" w:rsidP="002512E0">
      <w:pPr>
        <w:numPr>
          <w:ilvl w:val="0"/>
          <w:numId w:val="5"/>
        </w:numPr>
        <w:spacing w:after="0" w:line="240" w:lineRule="atLeast"/>
        <w:jc w:val="both"/>
        <w:rPr>
          <w:rFonts w:ascii="Times New Roman" w:hAnsi="Times New Roman" w:cs="Times New Roman"/>
          <w:sz w:val="24"/>
          <w:szCs w:val="24"/>
        </w:rPr>
      </w:pPr>
      <w:r w:rsidRPr="00D7796A">
        <w:rPr>
          <w:rFonts w:ascii="Times New Roman" w:hAnsi="Times New Roman" w:cs="Times New Roman"/>
          <w:sz w:val="24"/>
          <w:szCs w:val="24"/>
          <w:u w:val="single"/>
        </w:rPr>
        <w:t>Тогтмол үнэ:</w:t>
      </w:r>
      <w:r w:rsidRPr="00D7796A">
        <w:rPr>
          <w:rFonts w:ascii="Times New Roman" w:hAnsi="Times New Roman" w:cs="Times New Roman"/>
          <w:sz w:val="24"/>
          <w:szCs w:val="24"/>
        </w:rPr>
        <w:t xml:space="preserve"> Дээр дурдсан үнэ нь тогтмол бөгөөд гэрээний гүйцэтгэлийн явцад ямар ч тохируулга хийгдэхгүй.</w:t>
      </w:r>
    </w:p>
    <w:p w14:paraId="2A95AA98" w14:textId="77777777" w:rsidR="002512E0" w:rsidRPr="00D7796A" w:rsidRDefault="002512E0" w:rsidP="002512E0">
      <w:pPr>
        <w:numPr>
          <w:ilvl w:val="0"/>
          <w:numId w:val="5"/>
        </w:numPr>
        <w:spacing w:after="0" w:line="240" w:lineRule="atLeast"/>
        <w:jc w:val="both"/>
        <w:rPr>
          <w:rFonts w:ascii="Times New Roman" w:hAnsi="Times New Roman" w:cs="Times New Roman"/>
          <w:sz w:val="24"/>
          <w:szCs w:val="24"/>
        </w:rPr>
      </w:pPr>
      <w:r w:rsidRPr="00D7796A">
        <w:rPr>
          <w:rFonts w:ascii="Times New Roman" w:hAnsi="Times New Roman" w:cs="Times New Roman"/>
          <w:sz w:val="24"/>
          <w:szCs w:val="24"/>
          <w:u w:val="single"/>
        </w:rPr>
        <w:t>Төлбөр:</w:t>
      </w:r>
      <w:r w:rsidRPr="00D7796A">
        <w:rPr>
          <w:rFonts w:ascii="Times New Roman" w:hAnsi="Times New Roman" w:cs="Times New Roman"/>
          <w:sz w:val="24"/>
          <w:szCs w:val="24"/>
        </w:rPr>
        <w:t xml:space="preserve"> Захиалагч нь бараа бүтээгдэхүүнийг бүрэн шалгаж ашиглалтад хүлээн авсны дараа нэхэмжлэхийн дагуу төлбөрийг 100% шилжүүлнэ.</w:t>
      </w:r>
    </w:p>
    <w:p w14:paraId="4ABE41CB" w14:textId="77777777" w:rsidR="002512E0" w:rsidRPr="00D7796A" w:rsidRDefault="002512E0" w:rsidP="002512E0">
      <w:pPr>
        <w:numPr>
          <w:ilvl w:val="0"/>
          <w:numId w:val="5"/>
        </w:numPr>
        <w:spacing w:after="0" w:line="240" w:lineRule="atLeast"/>
        <w:jc w:val="both"/>
        <w:rPr>
          <w:rFonts w:ascii="Times New Roman" w:hAnsi="Times New Roman" w:cs="Times New Roman"/>
          <w:sz w:val="24"/>
          <w:szCs w:val="24"/>
        </w:rPr>
      </w:pPr>
      <w:r w:rsidRPr="00D7796A">
        <w:rPr>
          <w:rFonts w:ascii="Times New Roman" w:hAnsi="Times New Roman" w:cs="Times New Roman"/>
          <w:sz w:val="24"/>
          <w:szCs w:val="24"/>
          <w:u w:val="single"/>
        </w:rPr>
        <w:t>Баталгаа:</w:t>
      </w:r>
      <w:r w:rsidRPr="00D7796A">
        <w:rPr>
          <w:rFonts w:ascii="Times New Roman" w:hAnsi="Times New Roman" w:cs="Times New Roman"/>
          <w:sz w:val="24"/>
          <w:szCs w:val="24"/>
        </w:rPr>
        <w:t xml:space="preserve"> Барааны баталгаат хугацааг техникийн шаардлагад заасан хугацаанд өгөх бөгөөд Бараа ашиглалтад орсон өдрөөс эхлэн баталгаат засварын хугацаанд нийлүүлэгч бараа бүтээгдэхүүнтэй холбоотой гарсан аливаа гэмтэл согогийг хариуцна.</w:t>
      </w:r>
    </w:p>
    <w:p w14:paraId="7FEED88B" w14:textId="77777777" w:rsidR="002512E0" w:rsidRPr="00D7796A" w:rsidRDefault="002512E0" w:rsidP="002512E0">
      <w:pPr>
        <w:numPr>
          <w:ilvl w:val="0"/>
          <w:numId w:val="5"/>
        </w:numPr>
        <w:spacing w:after="0" w:line="240" w:lineRule="atLeast"/>
        <w:jc w:val="both"/>
        <w:rPr>
          <w:rFonts w:ascii="Times New Roman" w:hAnsi="Times New Roman" w:cs="Times New Roman"/>
          <w:sz w:val="24"/>
          <w:szCs w:val="24"/>
        </w:rPr>
      </w:pPr>
      <w:r w:rsidRPr="00D7796A">
        <w:rPr>
          <w:rFonts w:ascii="Times New Roman" w:hAnsi="Times New Roman" w:cs="Times New Roman"/>
          <w:sz w:val="24"/>
          <w:szCs w:val="24"/>
          <w:u w:val="single"/>
        </w:rPr>
        <w:t>Ажиллагааг шалгах тест</w:t>
      </w:r>
      <w:r w:rsidRPr="00D7796A">
        <w:rPr>
          <w:rFonts w:ascii="Times New Roman" w:hAnsi="Times New Roman" w:cs="Times New Roman"/>
          <w:sz w:val="24"/>
          <w:szCs w:val="24"/>
        </w:rPr>
        <w:t>: Захиалагч (Нийлүүлэгчийн туслалцаатайгаар) Бараа нь ашиглалтад хүлээлгэх шаардлагыг хангаж байгаа эсэхийг шалгах зорилгоор Барааны ажиллагааг шалгаж тест хийнэ.</w:t>
      </w:r>
    </w:p>
    <w:p w14:paraId="08F6377F" w14:textId="77777777" w:rsidR="002512E0" w:rsidRPr="00D7796A" w:rsidRDefault="002512E0" w:rsidP="002512E0">
      <w:pPr>
        <w:numPr>
          <w:ilvl w:val="0"/>
          <w:numId w:val="5"/>
        </w:numPr>
        <w:spacing w:after="0" w:line="240" w:lineRule="atLeast"/>
        <w:jc w:val="both"/>
        <w:rPr>
          <w:rFonts w:ascii="Times New Roman" w:hAnsi="Times New Roman" w:cs="Times New Roman"/>
          <w:sz w:val="24"/>
          <w:szCs w:val="24"/>
        </w:rPr>
      </w:pPr>
      <w:r w:rsidRPr="00D7796A">
        <w:rPr>
          <w:rFonts w:ascii="Times New Roman" w:hAnsi="Times New Roman" w:cs="Times New Roman"/>
          <w:sz w:val="24"/>
          <w:szCs w:val="24"/>
          <w:u w:val="single"/>
        </w:rPr>
        <w:t>Захиалгыг цуцлах</w:t>
      </w:r>
      <w:r w:rsidRPr="00D7796A">
        <w:rPr>
          <w:rFonts w:ascii="Times New Roman" w:hAnsi="Times New Roman" w:cs="Times New Roman"/>
          <w:sz w:val="24"/>
          <w:szCs w:val="24"/>
        </w:rPr>
        <w:t>: Нийлүүлэгч нь дээр дурдсан нөхцөлийн дагуу бараагаа нийлүүлээгүй тохиолдолд Захиалагч нь 7 (долоо) хоногийн хугацаатай мэдэгдэл хүргүүлж, нийлүүлэгчийн өмнө ямар ч хариуцлага хүлээхгүйгээр Худалдан авалтын захиалгыг цуцалж болно.</w:t>
      </w:r>
    </w:p>
    <w:p w14:paraId="68BBC54C" w14:textId="77777777" w:rsidR="002512E0" w:rsidRPr="00D7796A" w:rsidRDefault="002512E0" w:rsidP="002512E0">
      <w:pPr>
        <w:spacing w:line="240" w:lineRule="atLeast"/>
        <w:ind w:left="720"/>
        <w:jc w:val="both"/>
        <w:rPr>
          <w:rFonts w:ascii="Times New Roman" w:hAnsi="Times New Roman" w:cs="Times New Roman"/>
          <w:sz w:val="24"/>
          <w:szCs w:val="24"/>
        </w:rPr>
      </w:pPr>
    </w:p>
    <w:p w14:paraId="068CDD5D" w14:textId="77777777" w:rsidR="002512E0" w:rsidRPr="00D7796A" w:rsidRDefault="002512E0" w:rsidP="002512E0">
      <w:pPr>
        <w:spacing w:line="240" w:lineRule="atLeast"/>
        <w:rPr>
          <w:rFonts w:ascii="Times New Roman" w:hAnsi="Times New Roman" w:cs="Times New Roman"/>
          <w:sz w:val="24"/>
          <w:szCs w:val="24"/>
        </w:rPr>
      </w:pPr>
      <w:r w:rsidRPr="00D7796A">
        <w:rPr>
          <w:rFonts w:ascii="Times New Roman" w:hAnsi="Times New Roman" w:cs="Times New Roman"/>
          <w:sz w:val="24"/>
          <w:szCs w:val="24"/>
        </w:rPr>
        <w:t xml:space="preserve">Нийлүүлэгчийн нэр:  </w:t>
      </w:r>
    </w:p>
    <w:p w14:paraId="6514E9B6" w14:textId="77777777" w:rsidR="002512E0" w:rsidRPr="00D7796A" w:rsidRDefault="002512E0" w:rsidP="002512E0">
      <w:pPr>
        <w:spacing w:line="240" w:lineRule="atLeast"/>
        <w:rPr>
          <w:rFonts w:ascii="Times New Roman" w:hAnsi="Times New Roman" w:cs="Times New Roman"/>
          <w:sz w:val="24"/>
          <w:szCs w:val="24"/>
        </w:rPr>
      </w:pPr>
      <w:r w:rsidRPr="00D7796A">
        <w:rPr>
          <w:rFonts w:ascii="Times New Roman" w:hAnsi="Times New Roman" w:cs="Times New Roman"/>
          <w:sz w:val="24"/>
          <w:szCs w:val="24"/>
        </w:rPr>
        <w:t>Баталгаат гарын үсэг: _________________________________</w:t>
      </w:r>
    </w:p>
    <w:p w14:paraId="6E56DC68" w14:textId="77777777" w:rsidR="002512E0" w:rsidRPr="00D7796A" w:rsidRDefault="002512E0" w:rsidP="002512E0">
      <w:pPr>
        <w:spacing w:line="240" w:lineRule="atLeast"/>
        <w:rPr>
          <w:rFonts w:ascii="Times New Roman" w:hAnsi="Times New Roman" w:cs="Times New Roman"/>
          <w:sz w:val="24"/>
          <w:szCs w:val="24"/>
        </w:rPr>
      </w:pPr>
      <w:r w:rsidRPr="00D7796A">
        <w:rPr>
          <w:rFonts w:ascii="Times New Roman" w:hAnsi="Times New Roman" w:cs="Times New Roman"/>
          <w:sz w:val="24"/>
          <w:szCs w:val="24"/>
        </w:rPr>
        <w:t>Овог, нэр: ______________________________</w:t>
      </w:r>
    </w:p>
    <w:p w14:paraId="15527433" w14:textId="77777777" w:rsidR="002512E0" w:rsidRPr="00D7796A" w:rsidRDefault="002512E0" w:rsidP="002512E0">
      <w:pPr>
        <w:spacing w:line="240" w:lineRule="atLeast"/>
        <w:jc w:val="both"/>
        <w:rPr>
          <w:rFonts w:ascii="Times New Roman" w:hAnsi="Times New Roman" w:cs="Times New Roman"/>
          <w:sz w:val="24"/>
          <w:szCs w:val="24"/>
        </w:rPr>
      </w:pPr>
      <w:r w:rsidRPr="00D7796A">
        <w:rPr>
          <w:rFonts w:ascii="Times New Roman" w:hAnsi="Times New Roman" w:cs="Times New Roman"/>
          <w:sz w:val="24"/>
          <w:szCs w:val="24"/>
        </w:rPr>
        <w:t>Хаяг:</w:t>
      </w:r>
      <w:r w:rsidRPr="00D7796A">
        <w:rPr>
          <w:rFonts w:ascii="Times New Roman" w:hAnsi="Times New Roman" w:cs="Times New Roman"/>
          <w:sz w:val="24"/>
          <w:szCs w:val="24"/>
        </w:rPr>
        <w:tab/>
        <w:t xml:space="preserve"> </w:t>
      </w:r>
    </w:p>
    <w:p w14:paraId="17408A18" w14:textId="77777777" w:rsidR="002512E0" w:rsidRPr="00D7796A" w:rsidRDefault="002512E0" w:rsidP="002512E0">
      <w:pPr>
        <w:spacing w:line="240" w:lineRule="atLeast"/>
        <w:ind w:right="-450"/>
        <w:rPr>
          <w:rFonts w:ascii="Times New Roman" w:hAnsi="Times New Roman" w:cs="Times New Roman"/>
          <w:sz w:val="24"/>
          <w:szCs w:val="24"/>
        </w:rPr>
      </w:pPr>
      <w:r w:rsidRPr="00D7796A">
        <w:rPr>
          <w:rFonts w:ascii="Times New Roman" w:hAnsi="Times New Roman" w:cs="Times New Roman"/>
          <w:sz w:val="24"/>
          <w:szCs w:val="24"/>
        </w:rPr>
        <w:t>Огноо:</w:t>
      </w:r>
    </w:p>
    <w:p w14:paraId="21FE6BB9" w14:textId="1D1B95C4" w:rsidR="002512E0" w:rsidRDefault="002512E0" w:rsidP="002512E0">
      <w:pPr>
        <w:spacing w:line="240" w:lineRule="atLeast"/>
        <w:ind w:right="-90"/>
        <w:jc w:val="right"/>
        <w:rPr>
          <w:rFonts w:ascii="Times New Roman" w:hAnsi="Times New Roman" w:cs="Times New Roman"/>
          <w:b/>
          <w:sz w:val="24"/>
          <w:szCs w:val="24"/>
          <w:u w:val="single"/>
        </w:rPr>
      </w:pPr>
      <w:r w:rsidRPr="00D7796A">
        <w:rPr>
          <w:rFonts w:ascii="Times New Roman" w:hAnsi="Times New Roman" w:cs="Times New Roman"/>
          <w:bCs/>
          <w:sz w:val="24"/>
          <w:szCs w:val="24"/>
          <w:u w:val="single"/>
        </w:rPr>
        <w:br w:type="page"/>
      </w:r>
      <w:r w:rsidRPr="00D7796A">
        <w:rPr>
          <w:rFonts w:ascii="Times New Roman" w:hAnsi="Times New Roman" w:cs="Times New Roman"/>
          <w:b/>
          <w:sz w:val="24"/>
          <w:szCs w:val="24"/>
          <w:u w:val="single"/>
        </w:rPr>
        <w:lastRenderedPageBreak/>
        <w:t>ХАВСРАЛТ 2</w:t>
      </w:r>
    </w:p>
    <w:p w14:paraId="1F2E190F" w14:textId="77777777" w:rsidR="00FD3E34" w:rsidRPr="000915D4" w:rsidRDefault="00FD3E34" w:rsidP="004D1DE6">
      <w:pPr>
        <w:jc w:val="both"/>
        <w:rPr>
          <w:rFonts w:ascii="Times New Roman" w:hAnsi="Times New Roman" w:cs="Times New Roman"/>
          <w:b/>
          <w:bCs/>
          <w:sz w:val="24"/>
          <w:szCs w:val="24"/>
        </w:rPr>
      </w:pPr>
      <w:r w:rsidRPr="000915D4">
        <w:rPr>
          <w:rFonts w:ascii="Times New Roman" w:hAnsi="Times New Roman" w:cs="Times New Roman"/>
          <w:b/>
          <w:bCs/>
          <w:sz w:val="24"/>
          <w:szCs w:val="24"/>
        </w:rPr>
        <w:t xml:space="preserve">NATIONAL SHOPPING </w:t>
      </w:r>
    </w:p>
    <w:p w14:paraId="38776A1B" w14:textId="77777777" w:rsidR="002512E0" w:rsidRPr="00D7796A" w:rsidRDefault="002512E0" w:rsidP="002512E0">
      <w:pPr>
        <w:spacing w:line="240" w:lineRule="atLeast"/>
        <w:jc w:val="center"/>
        <w:rPr>
          <w:rFonts w:ascii="Times New Roman" w:hAnsi="Times New Roman" w:cs="Times New Roman"/>
          <w:b/>
          <w:sz w:val="24"/>
          <w:szCs w:val="24"/>
        </w:rPr>
      </w:pPr>
      <w:r w:rsidRPr="00D7796A">
        <w:rPr>
          <w:rFonts w:ascii="Times New Roman" w:hAnsi="Times New Roman" w:cs="Times New Roman"/>
          <w:b/>
          <w:bCs/>
          <w:sz w:val="24"/>
          <w:szCs w:val="24"/>
          <w:u w:val="single"/>
        </w:rPr>
        <w:t>БҮТЭЭГДЭХҮҮНИЙ ТЕХНИКИЙН ШААРДЛАГА</w:t>
      </w:r>
    </w:p>
    <w:p w14:paraId="7C296FCB" w14:textId="204EBC8F" w:rsidR="00DC24C3" w:rsidRDefault="00DC24C3" w:rsidP="00DC24C3">
      <w:pPr>
        <w:widowControl w:val="0"/>
        <w:suppressAutoHyphens/>
        <w:spacing w:line="240" w:lineRule="atLeast"/>
        <w:ind w:right="-14"/>
        <w:jc w:val="both"/>
        <w:rPr>
          <w:rFonts w:ascii="Times New Roman" w:hAnsi="Times New Roman"/>
        </w:rPr>
      </w:pPr>
      <w:r>
        <w:rPr>
          <w:rFonts w:ascii="Times New Roman" w:hAnsi="Times New Roman"/>
        </w:rPr>
        <w:t xml:space="preserve">БАРАА 1: Compilation (legislation/rules); </w:t>
      </w:r>
      <w:r>
        <w:rPr>
          <w:rFonts w:ascii="Times New Roman" w:hAnsi="Times New Roman"/>
          <w:b/>
        </w:rPr>
        <w:t xml:space="preserve">Volume I </w:t>
      </w:r>
      <w:r>
        <w:rPr>
          <w:rFonts w:ascii="Times New Roman" w:hAnsi="Times New Roman"/>
        </w:rPr>
        <w:t xml:space="preserve"> Insurance market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498"/>
        <w:gridCol w:w="4537"/>
      </w:tblGrid>
      <w:tr w:rsidR="00DC24C3" w14:paraId="20635A44" w14:textId="77777777" w:rsidTr="00E413BD">
        <w:trPr>
          <w:trHeight w:val="507"/>
        </w:trPr>
        <w:tc>
          <w:tcPr>
            <w:tcW w:w="280" w:type="pct"/>
            <w:tcBorders>
              <w:top w:val="single" w:sz="4" w:space="0" w:color="auto"/>
              <w:left w:val="single" w:sz="4" w:space="0" w:color="auto"/>
              <w:bottom w:val="single" w:sz="4" w:space="0" w:color="auto"/>
              <w:right w:val="single" w:sz="4" w:space="0" w:color="auto"/>
            </w:tcBorders>
            <w:vAlign w:val="center"/>
            <w:hideMark/>
          </w:tcPr>
          <w:p w14:paraId="5CB2BFB2" w14:textId="77777777" w:rsidR="00DC24C3" w:rsidRDefault="00DC24C3">
            <w:pPr>
              <w:widowControl w:val="0"/>
              <w:suppressAutoHyphens/>
              <w:spacing w:line="240" w:lineRule="atLeast"/>
              <w:ind w:right="-14"/>
              <w:jc w:val="center"/>
              <w:rPr>
                <w:rFonts w:ascii="Times New Roman" w:hAnsi="Times New Roman"/>
                <w:b/>
              </w:rPr>
            </w:pPr>
            <w:r>
              <w:rPr>
                <w:rFonts w:ascii="Times New Roman" w:hAnsi="Times New Roman"/>
                <w:b/>
              </w:rPr>
              <w:t>№</w:t>
            </w:r>
          </w:p>
        </w:tc>
        <w:tc>
          <w:tcPr>
            <w:tcW w:w="2350" w:type="pct"/>
            <w:tcBorders>
              <w:top w:val="single" w:sz="4" w:space="0" w:color="auto"/>
              <w:left w:val="single" w:sz="4" w:space="0" w:color="auto"/>
              <w:bottom w:val="single" w:sz="4" w:space="0" w:color="auto"/>
              <w:right w:val="single" w:sz="4" w:space="0" w:color="auto"/>
            </w:tcBorders>
            <w:vAlign w:val="center"/>
            <w:hideMark/>
          </w:tcPr>
          <w:p w14:paraId="507100BB" w14:textId="6A7EF947" w:rsidR="00DC24C3" w:rsidRDefault="00DC24C3">
            <w:pPr>
              <w:widowControl w:val="0"/>
              <w:suppressAutoHyphens/>
              <w:spacing w:line="240" w:lineRule="atLeast"/>
              <w:ind w:right="-14"/>
              <w:jc w:val="center"/>
              <w:rPr>
                <w:rFonts w:ascii="Times New Roman" w:hAnsi="Times New Roman"/>
                <w:b/>
              </w:rPr>
            </w:pPr>
            <w:r>
              <w:rPr>
                <w:rFonts w:ascii="Times New Roman" w:hAnsi="Times New Roman"/>
                <w:b/>
              </w:rPr>
              <w:t>Техникийн шаардлага</w:t>
            </w:r>
          </w:p>
        </w:tc>
        <w:tc>
          <w:tcPr>
            <w:tcW w:w="2370" w:type="pct"/>
            <w:tcBorders>
              <w:top w:val="single" w:sz="4" w:space="0" w:color="auto"/>
              <w:left w:val="single" w:sz="4" w:space="0" w:color="auto"/>
              <w:bottom w:val="single" w:sz="4" w:space="0" w:color="auto"/>
              <w:right w:val="single" w:sz="4" w:space="0" w:color="auto"/>
            </w:tcBorders>
            <w:vAlign w:val="center"/>
            <w:hideMark/>
          </w:tcPr>
          <w:p w14:paraId="1A35E372" w14:textId="337275DA" w:rsidR="00DC24C3" w:rsidRDefault="00DC24C3">
            <w:pPr>
              <w:widowControl w:val="0"/>
              <w:suppressAutoHyphens/>
              <w:spacing w:line="240" w:lineRule="atLeast"/>
              <w:ind w:right="-14"/>
              <w:jc w:val="center"/>
              <w:rPr>
                <w:rFonts w:ascii="Times New Roman" w:hAnsi="Times New Roman"/>
                <w:b/>
              </w:rPr>
            </w:pPr>
            <w:r>
              <w:rPr>
                <w:rFonts w:ascii="Times New Roman" w:hAnsi="Times New Roman"/>
                <w:b/>
              </w:rPr>
              <w:t>Санал болгож буй барааны техникийн шаардлага</w:t>
            </w:r>
          </w:p>
        </w:tc>
      </w:tr>
      <w:tr w:rsidR="00DC24C3" w14:paraId="38EB1F6F" w14:textId="77777777" w:rsidTr="00DC24C3">
        <w:tc>
          <w:tcPr>
            <w:tcW w:w="280" w:type="pct"/>
            <w:tcBorders>
              <w:top w:val="single" w:sz="4" w:space="0" w:color="auto"/>
              <w:left w:val="single" w:sz="4" w:space="0" w:color="auto"/>
              <w:bottom w:val="single" w:sz="4" w:space="0" w:color="auto"/>
              <w:right w:val="single" w:sz="4" w:space="0" w:color="auto"/>
            </w:tcBorders>
            <w:vAlign w:val="center"/>
            <w:hideMark/>
          </w:tcPr>
          <w:p w14:paraId="1E8AB1FB" w14:textId="77777777" w:rsidR="00DC24C3" w:rsidRDefault="00DC24C3">
            <w:pPr>
              <w:widowControl w:val="0"/>
              <w:suppressAutoHyphens/>
              <w:spacing w:after="0" w:line="240" w:lineRule="atLeast"/>
              <w:ind w:right="-14"/>
              <w:jc w:val="center"/>
              <w:rPr>
                <w:rFonts w:ascii="Times New Roman" w:hAnsi="Times New Roman"/>
              </w:rPr>
            </w:pPr>
            <w:r>
              <w:rPr>
                <w:rFonts w:ascii="Times New Roman" w:hAnsi="Times New Roman"/>
              </w:rPr>
              <w:t>1</w:t>
            </w:r>
          </w:p>
        </w:tc>
        <w:tc>
          <w:tcPr>
            <w:tcW w:w="2350" w:type="pct"/>
            <w:tcBorders>
              <w:top w:val="single" w:sz="4" w:space="0" w:color="auto"/>
              <w:left w:val="single" w:sz="4" w:space="0" w:color="auto"/>
              <w:bottom w:val="single" w:sz="4" w:space="0" w:color="auto"/>
              <w:right w:val="single" w:sz="4" w:space="0" w:color="auto"/>
            </w:tcBorders>
            <w:hideMark/>
          </w:tcPr>
          <w:p w14:paraId="49DAA467" w14:textId="77777777" w:rsidR="00DC24C3" w:rsidRDefault="00DC24C3">
            <w:pPr>
              <w:spacing w:after="0"/>
              <w:rPr>
                <w:rFonts w:ascii="Times New Roman" w:hAnsi="Times New Roman"/>
                <w:bCs/>
              </w:rPr>
            </w:pPr>
            <w:r>
              <w:rPr>
                <w:rFonts w:ascii="Times New Roman" w:hAnsi="Times New Roman"/>
                <w:bCs/>
              </w:rPr>
              <w:t>Body:</w:t>
            </w:r>
          </w:p>
          <w:p w14:paraId="63E1E26D" w14:textId="77777777" w:rsidR="00DC24C3" w:rsidRDefault="00DC24C3">
            <w:pPr>
              <w:spacing w:after="0"/>
              <w:rPr>
                <w:rFonts w:ascii="Times New Roman" w:hAnsi="Times New Roman"/>
                <w:bCs/>
              </w:rPr>
            </w:pPr>
            <w:r>
              <w:rPr>
                <w:rFonts w:ascii="Times New Roman" w:hAnsi="Times New Roman"/>
                <w:bCs/>
              </w:rPr>
              <w:t>Size A4; paperback; black/white print</w:t>
            </w:r>
          </w:p>
          <w:p w14:paraId="6BB855B9" w14:textId="77777777" w:rsidR="00DC24C3" w:rsidRDefault="00DC24C3">
            <w:pPr>
              <w:spacing w:after="0"/>
              <w:rPr>
                <w:rFonts w:ascii="Times New Roman" w:hAnsi="Times New Roman"/>
                <w:bCs/>
              </w:rPr>
            </w:pPr>
            <w:r>
              <w:rPr>
                <w:rFonts w:ascii="Times New Roman" w:hAnsi="Times New Roman"/>
                <w:bCs/>
              </w:rPr>
              <w:t xml:space="preserve">370 pages; </w:t>
            </w:r>
          </w:p>
          <w:p w14:paraId="19BD8A27" w14:textId="77777777" w:rsidR="00DC24C3" w:rsidRDefault="00DC24C3">
            <w:pPr>
              <w:spacing w:after="0"/>
              <w:rPr>
                <w:rFonts w:ascii="Times New Roman" w:hAnsi="Times New Roman"/>
                <w:bCs/>
              </w:rPr>
            </w:pPr>
            <w:r>
              <w:rPr>
                <w:rFonts w:ascii="Times New Roman" w:hAnsi="Times New Roman"/>
                <w:bCs/>
              </w:rPr>
              <w:t xml:space="preserve">Paper: 85gr/cm2; </w:t>
            </w:r>
          </w:p>
          <w:p w14:paraId="1769BC08" w14:textId="77777777" w:rsidR="00DC24C3" w:rsidRDefault="00DC24C3">
            <w:pPr>
              <w:spacing w:after="0"/>
              <w:rPr>
                <w:rFonts w:ascii="Times New Roman" w:hAnsi="Times New Roman"/>
                <w:bCs/>
              </w:rPr>
            </w:pPr>
            <w:r>
              <w:rPr>
                <w:rFonts w:ascii="Times New Roman" w:hAnsi="Times New Roman"/>
                <w:bCs/>
              </w:rPr>
              <w:t>white gloss</w:t>
            </w:r>
          </w:p>
        </w:tc>
        <w:tc>
          <w:tcPr>
            <w:tcW w:w="2370" w:type="pct"/>
            <w:tcBorders>
              <w:top w:val="single" w:sz="4" w:space="0" w:color="auto"/>
              <w:left w:val="single" w:sz="4" w:space="0" w:color="auto"/>
              <w:bottom w:val="single" w:sz="4" w:space="0" w:color="auto"/>
              <w:right w:val="single" w:sz="4" w:space="0" w:color="auto"/>
            </w:tcBorders>
            <w:vAlign w:val="center"/>
          </w:tcPr>
          <w:p w14:paraId="4E5F4BC8" w14:textId="77777777" w:rsidR="00DC24C3" w:rsidRDefault="00DC24C3">
            <w:pPr>
              <w:widowControl w:val="0"/>
              <w:suppressAutoHyphens/>
              <w:spacing w:after="0" w:line="240" w:lineRule="atLeast"/>
              <w:ind w:right="-14"/>
              <w:jc w:val="center"/>
              <w:rPr>
                <w:rFonts w:ascii="Times New Roman" w:hAnsi="Times New Roman"/>
              </w:rPr>
            </w:pPr>
          </w:p>
        </w:tc>
      </w:tr>
      <w:tr w:rsidR="00DC24C3" w14:paraId="710D8A60" w14:textId="77777777" w:rsidTr="00DC24C3">
        <w:trPr>
          <w:trHeight w:val="639"/>
        </w:trPr>
        <w:tc>
          <w:tcPr>
            <w:tcW w:w="280" w:type="pct"/>
            <w:tcBorders>
              <w:top w:val="single" w:sz="4" w:space="0" w:color="auto"/>
              <w:left w:val="single" w:sz="4" w:space="0" w:color="auto"/>
              <w:bottom w:val="single" w:sz="4" w:space="0" w:color="auto"/>
              <w:right w:val="single" w:sz="4" w:space="0" w:color="auto"/>
            </w:tcBorders>
            <w:vAlign w:val="center"/>
            <w:hideMark/>
          </w:tcPr>
          <w:p w14:paraId="2F21AEC1" w14:textId="77777777" w:rsidR="00DC24C3" w:rsidRDefault="00DC24C3">
            <w:pPr>
              <w:widowControl w:val="0"/>
              <w:suppressAutoHyphens/>
              <w:spacing w:line="240" w:lineRule="atLeast"/>
              <w:ind w:right="-14"/>
              <w:jc w:val="center"/>
              <w:rPr>
                <w:rFonts w:ascii="Times New Roman" w:hAnsi="Times New Roman"/>
              </w:rPr>
            </w:pPr>
            <w:r>
              <w:rPr>
                <w:rFonts w:ascii="Times New Roman" w:hAnsi="Times New Roman"/>
              </w:rPr>
              <w:t>2</w:t>
            </w:r>
          </w:p>
        </w:tc>
        <w:tc>
          <w:tcPr>
            <w:tcW w:w="2350" w:type="pct"/>
            <w:tcBorders>
              <w:top w:val="single" w:sz="4" w:space="0" w:color="auto"/>
              <w:left w:val="single" w:sz="4" w:space="0" w:color="auto"/>
              <w:bottom w:val="single" w:sz="4" w:space="0" w:color="auto"/>
              <w:right w:val="single" w:sz="4" w:space="0" w:color="auto"/>
            </w:tcBorders>
            <w:hideMark/>
          </w:tcPr>
          <w:p w14:paraId="3A39FC41" w14:textId="77777777" w:rsidR="00DC24C3" w:rsidRDefault="00DC24C3">
            <w:pPr>
              <w:spacing w:after="0"/>
              <w:rPr>
                <w:rFonts w:ascii="Times New Roman" w:hAnsi="Times New Roman"/>
                <w:bCs/>
              </w:rPr>
            </w:pPr>
            <w:r>
              <w:rPr>
                <w:rFonts w:ascii="Times New Roman" w:hAnsi="Times New Roman"/>
                <w:bCs/>
              </w:rPr>
              <w:t>Cover page:</w:t>
            </w:r>
          </w:p>
          <w:p w14:paraId="5D8F10CB" w14:textId="77777777" w:rsidR="00DC24C3" w:rsidRDefault="00DC24C3">
            <w:pPr>
              <w:spacing w:after="0"/>
              <w:rPr>
                <w:rFonts w:ascii="Times New Roman" w:hAnsi="Times New Roman"/>
                <w:bCs/>
              </w:rPr>
            </w:pPr>
            <w:r>
              <w:rPr>
                <w:rFonts w:ascii="Times New Roman" w:hAnsi="Times New Roman"/>
                <w:bCs/>
              </w:rPr>
              <w:t>250gr/cm2; color print</w:t>
            </w:r>
          </w:p>
          <w:p w14:paraId="54842B04" w14:textId="77777777" w:rsidR="00DC24C3" w:rsidRDefault="00DC24C3">
            <w:pPr>
              <w:spacing w:after="0"/>
              <w:rPr>
                <w:rFonts w:ascii="Times New Roman" w:hAnsi="Times New Roman"/>
                <w:bCs/>
              </w:rPr>
            </w:pPr>
            <w:r>
              <w:rPr>
                <w:rFonts w:ascii="Times New Roman" w:hAnsi="Times New Roman"/>
                <w:bCs/>
              </w:rPr>
              <w:t xml:space="preserve">Laminate layer surface, matt </w:t>
            </w:r>
          </w:p>
        </w:tc>
        <w:tc>
          <w:tcPr>
            <w:tcW w:w="2370" w:type="pct"/>
            <w:tcBorders>
              <w:top w:val="single" w:sz="4" w:space="0" w:color="auto"/>
              <w:left w:val="single" w:sz="4" w:space="0" w:color="auto"/>
              <w:bottom w:val="single" w:sz="4" w:space="0" w:color="auto"/>
              <w:right w:val="single" w:sz="4" w:space="0" w:color="auto"/>
            </w:tcBorders>
            <w:vAlign w:val="center"/>
          </w:tcPr>
          <w:p w14:paraId="6D73082D" w14:textId="77777777" w:rsidR="00DC24C3" w:rsidRDefault="00DC24C3">
            <w:pPr>
              <w:widowControl w:val="0"/>
              <w:suppressAutoHyphens/>
              <w:spacing w:line="240" w:lineRule="atLeast"/>
              <w:ind w:right="-14"/>
              <w:rPr>
                <w:rFonts w:ascii="Times New Roman" w:hAnsi="Times New Roman"/>
              </w:rPr>
            </w:pPr>
          </w:p>
        </w:tc>
      </w:tr>
    </w:tbl>
    <w:p w14:paraId="2F827199" w14:textId="77777777" w:rsidR="00DC24C3" w:rsidRDefault="00DC24C3" w:rsidP="00DC24C3">
      <w:pPr>
        <w:spacing w:after="0"/>
        <w:jc w:val="both"/>
        <w:rPr>
          <w:rFonts w:ascii="Times New Roman" w:eastAsia="Times New Roman" w:hAnsi="Times New Roman"/>
          <w:b/>
        </w:rPr>
      </w:pPr>
    </w:p>
    <w:p w14:paraId="3A4CC3A3" w14:textId="77777777" w:rsidR="00DC24C3" w:rsidRDefault="00DC24C3" w:rsidP="00DC24C3">
      <w:pPr>
        <w:spacing w:after="0"/>
        <w:jc w:val="both"/>
        <w:rPr>
          <w:rFonts w:ascii="Times New Roman" w:hAnsi="Times New Roman"/>
          <w:b/>
        </w:rPr>
      </w:pPr>
    </w:p>
    <w:p w14:paraId="2DFA21E0" w14:textId="56CEFBEB" w:rsidR="00DC24C3" w:rsidRDefault="00E413BD" w:rsidP="00DC24C3">
      <w:pPr>
        <w:widowControl w:val="0"/>
        <w:suppressAutoHyphens/>
        <w:spacing w:line="240" w:lineRule="atLeast"/>
        <w:ind w:right="-14"/>
        <w:jc w:val="both"/>
        <w:rPr>
          <w:rFonts w:ascii="Times New Roman" w:hAnsi="Times New Roman"/>
        </w:rPr>
      </w:pPr>
      <w:r>
        <w:rPr>
          <w:rFonts w:ascii="Times New Roman" w:hAnsi="Times New Roman"/>
        </w:rPr>
        <w:t xml:space="preserve">БАРАА </w:t>
      </w:r>
      <w:r w:rsidR="00DC24C3">
        <w:rPr>
          <w:rFonts w:ascii="Times New Roman" w:hAnsi="Times New Roman"/>
        </w:rPr>
        <w:t xml:space="preserve">2: Compilation (legislation/rules); </w:t>
      </w:r>
      <w:r w:rsidR="00DC24C3">
        <w:rPr>
          <w:rFonts w:ascii="Times New Roman" w:hAnsi="Times New Roman"/>
          <w:b/>
        </w:rPr>
        <w:t>Volume II</w:t>
      </w:r>
      <w:r w:rsidR="00DC24C3">
        <w:rPr>
          <w:rFonts w:ascii="Times New Roman" w:hAnsi="Times New Roman"/>
        </w:rPr>
        <w:t xml:space="preserve">  Securities market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498"/>
        <w:gridCol w:w="4537"/>
      </w:tblGrid>
      <w:tr w:rsidR="00DC24C3" w14:paraId="366961F2" w14:textId="77777777" w:rsidTr="00DC24C3">
        <w:tc>
          <w:tcPr>
            <w:tcW w:w="280" w:type="pct"/>
            <w:tcBorders>
              <w:top w:val="single" w:sz="4" w:space="0" w:color="auto"/>
              <w:left w:val="single" w:sz="4" w:space="0" w:color="auto"/>
              <w:bottom w:val="single" w:sz="4" w:space="0" w:color="auto"/>
              <w:right w:val="single" w:sz="4" w:space="0" w:color="auto"/>
            </w:tcBorders>
            <w:vAlign w:val="center"/>
            <w:hideMark/>
          </w:tcPr>
          <w:p w14:paraId="6FF26A29" w14:textId="77777777" w:rsidR="00DC24C3" w:rsidRDefault="00DC24C3" w:rsidP="00DC24C3">
            <w:pPr>
              <w:widowControl w:val="0"/>
              <w:suppressAutoHyphens/>
              <w:spacing w:line="240" w:lineRule="atLeast"/>
              <w:ind w:right="-14"/>
              <w:jc w:val="center"/>
              <w:rPr>
                <w:rFonts w:ascii="Times New Roman" w:hAnsi="Times New Roman"/>
                <w:b/>
              </w:rPr>
            </w:pPr>
            <w:r>
              <w:rPr>
                <w:rFonts w:ascii="Times New Roman" w:hAnsi="Times New Roman"/>
                <w:b/>
              </w:rPr>
              <w:t>№</w:t>
            </w:r>
          </w:p>
        </w:tc>
        <w:tc>
          <w:tcPr>
            <w:tcW w:w="2350" w:type="pct"/>
            <w:tcBorders>
              <w:top w:val="single" w:sz="4" w:space="0" w:color="auto"/>
              <w:left w:val="single" w:sz="4" w:space="0" w:color="auto"/>
              <w:bottom w:val="single" w:sz="4" w:space="0" w:color="auto"/>
              <w:right w:val="single" w:sz="4" w:space="0" w:color="auto"/>
            </w:tcBorders>
            <w:vAlign w:val="center"/>
            <w:hideMark/>
          </w:tcPr>
          <w:p w14:paraId="41DF944A" w14:textId="1DED6D25" w:rsidR="00DC24C3" w:rsidRDefault="00DC24C3" w:rsidP="00DC24C3">
            <w:pPr>
              <w:widowControl w:val="0"/>
              <w:suppressAutoHyphens/>
              <w:spacing w:line="240" w:lineRule="atLeast"/>
              <w:ind w:right="-14"/>
              <w:jc w:val="center"/>
              <w:rPr>
                <w:rFonts w:ascii="Times New Roman" w:hAnsi="Times New Roman"/>
                <w:b/>
              </w:rPr>
            </w:pPr>
            <w:r>
              <w:rPr>
                <w:rFonts w:ascii="Times New Roman" w:hAnsi="Times New Roman"/>
                <w:b/>
              </w:rPr>
              <w:t>Техникийн шаардлага</w:t>
            </w:r>
          </w:p>
        </w:tc>
        <w:tc>
          <w:tcPr>
            <w:tcW w:w="2370" w:type="pct"/>
            <w:tcBorders>
              <w:top w:val="single" w:sz="4" w:space="0" w:color="auto"/>
              <w:left w:val="single" w:sz="4" w:space="0" w:color="auto"/>
              <w:bottom w:val="single" w:sz="4" w:space="0" w:color="auto"/>
              <w:right w:val="single" w:sz="4" w:space="0" w:color="auto"/>
            </w:tcBorders>
            <w:vAlign w:val="center"/>
            <w:hideMark/>
          </w:tcPr>
          <w:p w14:paraId="3948BC37" w14:textId="41FF2302" w:rsidR="00DC24C3" w:rsidRDefault="00DC24C3" w:rsidP="00DC24C3">
            <w:pPr>
              <w:widowControl w:val="0"/>
              <w:suppressAutoHyphens/>
              <w:spacing w:line="240" w:lineRule="atLeast"/>
              <w:ind w:right="-14"/>
              <w:jc w:val="center"/>
              <w:rPr>
                <w:rFonts w:ascii="Times New Roman" w:hAnsi="Times New Roman"/>
                <w:b/>
              </w:rPr>
            </w:pPr>
            <w:r>
              <w:rPr>
                <w:rFonts w:ascii="Times New Roman" w:hAnsi="Times New Roman"/>
                <w:b/>
              </w:rPr>
              <w:t>Санал болгож буй барааны техникийн шаардлага</w:t>
            </w:r>
          </w:p>
        </w:tc>
      </w:tr>
      <w:tr w:rsidR="00DC24C3" w14:paraId="537B4A8C" w14:textId="77777777" w:rsidTr="00DC24C3">
        <w:trPr>
          <w:trHeight w:val="488"/>
        </w:trPr>
        <w:tc>
          <w:tcPr>
            <w:tcW w:w="280" w:type="pct"/>
            <w:tcBorders>
              <w:top w:val="single" w:sz="4" w:space="0" w:color="auto"/>
              <w:left w:val="single" w:sz="4" w:space="0" w:color="auto"/>
              <w:bottom w:val="single" w:sz="4" w:space="0" w:color="auto"/>
              <w:right w:val="single" w:sz="4" w:space="0" w:color="auto"/>
            </w:tcBorders>
            <w:vAlign w:val="center"/>
            <w:hideMark/>
          </w:tcPr>
          <w:p w14:paraId="03DF6433" w14:textId="77777777" w:rsidR="00DC24C3" w:rsidRDefault="00DC24C3">
            <w:pPr>
              <w:widowControl w:val="0"/>
              <w:suppressAutoHyphens/>
              <w:spacing w:line="240" w:lineRule="atLeast"/>
              <w:ind w:right="-14"/>
              <w:jc w:val="center"/>
              <w:rPr>
                <w:rFonts w:ascii="Times New Roman" w:hAnsi="Times New Roman"/>
              </w:rPr>
            </w:pPr>
            <w:r>
              <w:rPr>
                <w:rFonts w:ascii="Times New Roman" w:hAnsi="Times New Roman"/>
              </w:rPr>
              <w:t>1</w:t>
            </w:r>
          </w:p>
        </w:tc>
        <w:tc>
          <w:tcPr>
            <w:tcW w:w="2350" w:type="pct"/>
            <w:tcBorders>
              <w:top w:val="single" w:sz="4" w:space="0" w:color="auto"/>
              <w:left w:val="single" w:sz="4" w:space="0" w:color="auto"/>
              <w:bottom w:val="single" w:sz="4" w:space="0" w:color="auto"/>
              <w:right w:val="single" w:sz="4" w:space="0" w:color="auto"/>
            </w:tcBorders>
            <w:hideMark/>
          </w:tcPr>
          <w:p w14:paraId="2C139F7E" w14:textId="77777777" w:rsidR="00DC24C3" w:rsidRDefault="00DC24C3">
            <w:pPr>
              <w:spacing w:after="0"/>
              <w:rPr>
                <w:rFonts w:ascii="Times New Roman" w:hAnsi="Times New Roman"/>
                <w:bCs/>
              </w:rPr>
            </w:pPr>
            <w:r>
              <w:rPr>
                <w:rFonts w:ascii="Times New Roman" w:hAnsi="Times New Roman"/>
                <w:bCs/>
              </w:rPr>
              <w:t>Body:</w:t>
            </w:r>
          </w:p>
          <w:p w14:paraId="07DA69A3" w14:textId="77777777" w:rsidR="00DC24C3" w:rsidRDefault="00DC24C3">
            <w:pPr>
              <w:spacing w:after="0"/>
              <w:rPr>
                <w:rFonts w:ascii="Times New Roman" w:hAnsi="Times New Roman"/>
                <w:bCs/>
              </w:rPr>
            </w:pPr>
            <w:r>
              <w:rPr>
                <w:rFonts w:ascii="Times New Roman" w:hAnsi="Times New Roman"/>
                <w:bCs/>
              </w:rPr>
              <w:t>Size A4; paperback; black/white print</w:t>
            </w:r>
          </w:p>
          <w:p w14:paraId="611342EB" w14:textId="77777777" w:rsidR="00DC24C3" w:rsidRDefault="00DC24C3">
            <w:pPr>
              <w:spacing w:after="0"/>
              <w:rPr>
                <w:rFonts w:ascii="Times New Roman" w:hAnsi="Times New Roman"/>
                <w:bCs/>
              </w:rPr>
            </w:pPr>
            <w:r>
              <w:rPr>
                <w:rFonts w:ascii="Times New Roman" w:hAnsi="Times New Roman"/>
                <w:bCs/>
              </w:rPr>
              <w:t xml:space="preserve">250 pages; </w:t>
            </w:r>
          </w:p>
          <w:p w14:paraId="3AFB0DC2" w14:textId="77777777" w:rsidR="00DC24C3" w:rsidRDefault="00DC24C3">
            <w:pPr>
              <w:spacing w:after="0"/>
              <w:rPr>
                <w:rFonts w:ascii="Times New Roman" w:hAnsi="Times New Roman"/>
                <w:bCs/>
              </w:rPr>
            </w:pPr>
            <w:r>
              <w:rPr>
                <w:rFonts w:ascii="Times New Roman" w:hAnsi="Times New Roman"/>
                <w:bCs/>
              </w:rPr>
              <w:t xml:space="preserve">Paper: 85gr/cm2; </w:t>
            </w:r>
          </w:p>
          <w:p w14:paraId="4C4BA3E4" w14:textId="77777777" w:rsidR="00DC24C3" w:rsidRDefault="00DC24C3">
            <w:pPr>
              <w:spacing w:after="0"/>
              <w:rPr>
                <w:rFonts w:ascii="Times New Roman" w:hAnsi="Times New Roman"/>
                <w:bCs/>
              </w:rPr>
            </w:pPr>
            <w:r>
              <w:rPr>
                <w:rFonts w:ascii="Times New Roman" w:hAnsi="Times New Roman"/>
                <w:bCs/>
              </w:rPr>
              <w:t>white gloss</w:t>
            </w:r>
          </w:p>
        </w:tc>
        <w:tc>
          <w:tcPr>
            <w:tcW w:w="2370" w:type="pct"/>
            <w:tcBorders>
              <w:top w:val="single" w:sz="4" w:space="0" w:color="auto"/>
              <w:left w:val="single" w:sz="4" w:space="0" w:color="auto"/>
              <w:bottom w:val="single" w:sz="4" w:space="0" w:color="auto"/>
              <w:right w:val="single" w:sz="4" w:space="0" w:color="auto"/>
            </w:tcBorders>
            <w:vAlign w:val="center"/>
          </w:tcPr>
          <w:p w14:paraId="0CDB488F" w14:textId="77777777" w:rsidR="00DC24C3" w:rsidRDefault="00DC24C3">
            <w:pPr>
              <w:widowControl w:val="0"/>
              <w:suppressAutoHyphens/>
              <w:spacing w:line="240" w:lineRule="atLeast"/>
              <w:ind w:right="-14"/>
              <w:jc w:val="center"/>
              <w:rPr>
                <w:rFonts w:ascii="Times New Roman" w:hAnsi="Times New Roman"/>
                <w:b/>
              </w:rPr>
            </w:pPr>
          </w:p>
        </w:tc>
      </w:tr>
      <w:tr w:rsidR="00DC24C3" w14:paraId="365E0635" w14:textId="77777777" w:rsidTr="00DC24C3">
        <w:tc>
          <w:tcPr>
            <w:tcW w:w="280" w:type="pct"/>
            <w:tcBorders>
              <w:top w:val="single" w:sz="4" w:space="0" w:color="auto"/>
              <w:left w:val="single" w:sz="4" w:space="0" w:color="auto"/>
              <w:bottom w:val="single" w:sz="4" w:space="0" w:color="auto"/>
              <w:right w:val="single" w:sz="4" w:space="0" w:color="auto"/>
            </w:tcBorders>
            <w:vAlign w:val="center"/>
            <w:hideMark/>
          </w:tcPr>
          <w:p w14:paraId="3BE7CA55" w14:textId="77777777" w:rsidR="00DC24C3" w:rsidRDefault="00DC24C3">
            <w:pPr>
              <w:widowControl w:val="0"/>
              <w:suppressAutoHyphens/>
              <w:spacing w:line="240" w:lineRule="atLeast"/>
              <w:ind w:right="-14"/>
              <w:jc w:val="center"/>
              <w:rPr>
                <w:rFonts w:ascii="Times New Roman" w:hAnsi="Times New Roman"/>
              </w:rPr>
            </w:pPr>
            <w:r>
              <w:rPr>
                <w:rFonts w:ascii="Times New Roman" w:hAnsi="Times New Roman"/>
              </w:rPr>
              <w:t>2</w:t>
            </w:r>
          </w:p>
        </w:tc>
        <w:tc>
          <w:tcPr>
            <w:tcW w:w="2350" w:type="pct"/>
            <w:tcBorders>
              <w:top w:val="single" w:sz="4" w:space="0" w:color="auto"/>
              <w:left w:val="single" w:sz="4" w:space="0" w:color="auto"/>
              <w:bottom w:val="single" w:sz="4" w:space="0" w:color="auto"/>
              <w:right w:val="single" w:sz="4" w:space="0" w:color="auto"/>
            </w:tcBorders>
            <w:hideMark/>
          </w:tcPr>
          <w:p w14:paraId="4649E0D1" w14:textId="77777777" w:rsidR="00DC24C3" w:rsidRDefault="00DC24C3">
            <w:pPr>
              <w:spacing w:after="0"/>
              <w:rPr>
                <w:rFonts w:ascii="Times New Roman" w:hAnsi="Times New Roman"/>
                <w:bCs/>
              </w:rPr>
            </w:pPr>
            <w:r>
              <w:rPr>
                <w:rFonts w:ascii="Times New Roman" w:hAnsi="Times New Roman"/>
                <w:bCs/>
              </w:rPr>
              <w:t>Cover page:</w:t>
            </w:r>
          </w:p>
          <w:p w14:paraId="1B4285C6" w14:textId="77777777" w:rsidR="00DC24C3" w:rsidRDefault="00DC24C3">
            <w:pPr>
              <w:spacing w:after="0"/>
              <w:rPr>
                <w:rFonts w:ascii="Times New Roman" w:hAnsi="Times New Roman"/>
                <w:bCs/>
              </w:rPr>
            </w:pPr>
            <w:r>
              <w:rPr>
                <w:rFonts w:ascii="Times New Roman" w:hAnsi="Times New Roman"/>
                <w:bCs/>
              </w:rPr>
              <w:t>250gr/cm2; color print</w:t>
            </w:r>
          </w:p>
          <w:p w14:paraId="6212BA38" w14:textId="77777777" w:rsidR="00DC24C3" w:rsidRDefault="00DC24C3">
            <w:pPr>
              <w:spacing w:after="0"/>
              <w:rPr>
                <w:rFonts w:ascii="Times New Roman" w:hAnsi="Times New Roman"/>
                <w:bCs/>
              </w:rPr>
            </w:pPr>
            <w:r>
              <w:rPr>
                <w:rFonts w:ascii="Times New Roman" w:hAnsi="Times New Roman"/>
                <w:bCs/>
              </w:rPr>
              <w:t xml:space="preserve">Laminate layer surface, matt </w:t>
            </w:r>
          </w:p>
        </w:tc>
        <w:tc>
          <w:tcPr>
            <w:tcW w:w="2370" w:type="pct"/>
            <w:tcBorders>
              <w:top w:val="single" w:sz="4" w:space="0" w:color="auto"/>
              <w:left w:val="single" w:sz="4" w:space="0" w:color="auto"/>
              <w:bottom w:val="single" w:sz="4" w:space="0" w:color="auto"/>
              <w:right w:val="single" w:sz="4" w:space="0" w:color="auto"/>
            </w:tcBorders>
            <w:vAlign w:val="center"/>
          </w:tcPr>
          <w:p w14:paraId="037EE684" w14:textId="77777777" w:rsidR="00DC24C3" w:rsidRDefault="00DC24C3">
            <w:pPr>
              <w:widowControl w:val="0"/>
              <w:suppressAutoHyphens/>
              <w:spacing w:line="240" w:lineRule="atLeast"/>
              <w:ind w:right="-14"/>
              <w:jc w:val="center"/>
              <w:rPr>
                <w:rFonts w:ascii="Times New Roman" w:hAnsi="Times New Roman"/>
              </w:rPr>
            </w:pPr>
          </w:p>
        </w:tc>
      </w:tr>
    </w:tbl>
    <w:p w14:paraId="5020F831" w14:textId="77777777" w:rsidR="00DC24C3" w:rsidRDefault="00DC24C3" w:rsidP="00DC24C3">
      <w:pPr>
        <w:spacing w:line="240" w:lineRule="atLeast"/>
        <w:rPr>
          <w:rFonts w:ascii="Times New Roman" w:eastAsia="Times New Roman" w:hAnsi="Times New Roman"/>
          <w:b/>
          <w:bCs/>
          <w:u w:val="single"/>
        </w:rPr>
      </w:pPr>
    </w:p>
    <w:p w14:paraId="1BDE60F2" w14:textId="5DCBA7CB" w:rsidR="00DC24C3" w:rsidRDefault="00E413BD" w:rsidP="00DC24C3">
      <w:pPr>
        <w:widowControl w:val="0"/>
        <w:suppressAutoHyphens/>
        <w:spacing w:line="240" w:lineRule="atLeast"/>
        <w:ind w:right="-14"/>
        <w:jc w:val="both"/>
        <w:rPr>
          <w:rFonts w:ascii="Times New Roman" w:hAnsi="Times New Roman"/>
        </w:rPr>
      </w:pPr>
      <w:r>
        <w:rPr>
          <w:rFonts w:ascii="Times New Roman" w:hAnsi="Times New Roman"/>
        </w:rPr>
        <w:t xml:space="preserve">БАРАА </w:t>
      </w:r>
      <w:r w:rsidR="00DC24C3">
        <w:rPr>
          <w:rFonts w:ascii="Times New Roman" w:hAnsi="Times New Roman"/>
        </w:rPr>
        <w:t xml:space="preserve">3: Compilation (legislation/rules); </w:t>
      </w:r>
      <w:r w:rsidR="00DC24C3">
        <w:rPr>
          <w:rFonts w:ascii="Times New Roman" w:hAnsi="Times New Roman"/>
          <w:b/>
        </w:rPr>
        <w:t xml:space="preserve">Volume III </w:t>
      </w:r>
      <w:r w:rsidR="00DC24C3">
        <w:rPr>
          <w:rFonts w:ascii="Times New Roman" w:hAnsi="Times New Roman"/>
        </w:rPr>
        <w:t>Miscellaneous (AML/CFT, REAs, DPMS)</w:t>
      </w:r>
      <w:r w:rsidR="00DC24C3">
        <w:rPr>
          <w:rFonts w:ascii="Times New Roman" w:hAnsi="Times New Roman"/>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4498"/>
        <w:gridCol w:w="4537"/>
      </w:tblGrid>
      <w:tr w:rsidR="00DC24C3" w14:paraId="44550D6C" w14:textId="77777777" w:rsidTr="00DC24C3">
        <w:tc>
          <w:tcPr>
            <w:tcW w:w="280" w:type="pct"/>
            <w:tcBorders>
              <w:top w:val="single" w:sz="4" w:space="0" w:color="auto"/>
              <w:left w:val="single" w:sz="4" w:space="0" w:color="auto"/>
              <w:bottom w:val="single" w:sz="4" w:space="0" w:color="auto"/>
              <w:right w:val="single" w:sz="4" w:space="0" w:color="auto"/>
            </w:tcBorders>
            <w:vAlign w:val="center"/>
            <w:hideMark/>
          </w:tcPr>
          <w:p w14:paraId="3D39E208" w14:textId="77777777" w:rsidR="00DC24C3" w:rsidRDefault="00DC24C3" w:rsidP="00DC24C3">
            <w:pPr>
              <w:widowControl w:val="0"/>
              <w:suppressAutoHyphens/>
              <w:spacing w:line="240" w:lineRule="atLeast"/>
              <w:ind w:right="-14"/>
              <w:jc w:val="center"/>
              <w:rPr>
                <w:rFonts w:ascii="Times New Roman" w:hAnsi="Times New Roman"/>
                <w:b/>
              </w:rPr>
            </w:pPr>
            <w:r>
              <w:rPr>
                <w:rFonts w:ascii="Times New Roman" w:hAnsi="Times New Roman"/>
                <w:b/>
              </w:rPr>
              <w:t>№</w:t>
            </w:r>
          </w:p>
        </w:tc>
        <w:tc>
          <w:tcPr>
            <w:tcW w:w="2350" w:type="pct"/>
            <w:tcBorders>
              <w:top w:val="single" w:sz="4" w:space="0" w:color="auto"/>
              <w:left w:val="single" w:sz="4" w:space="0" w:color="auto"/>
              <w:bottom w:val="single" w:sz="4" w:space="0" w:color="auto"/>
              <w:right w:val="single" w:sz="4" w:space="0" w:color="auto"/>
            </w:tcBorders>
            <w:vAlign w:val="center"/>
            <w:hideMark/>
          </w:tcPr>
          <w:p w14:paraId="70A116A2" w14:textId="3DF8FF85" w:rsidR="00DC24C3" w:rsidRPr="00DC24C3" w:rsidRDefault="00DC24C3" w:rsidP="00DC24C3">
            <w:pPr>
              <w:widowControl w:val="0"/>
              <w:suppressAutoHyphens/>
              <w:spacing w:line="240" w:lineRule="atLeast"/>
              <w:ind w:right="-14"/>
              <w:jc w:val="center"/>
              <w:rPr>
                <w:rFonts w:ascii="Times New Roman" w:hAnsi="Times New Roman"/>
                <w:bCs/>
              </w:rPr>
            </w:pPr>
            <w:r>
              <w:rPr>
                <w:rFonts w:ascii="Times New Roman" w:hAnsi="Times New Roman"/>
                <w:b/>
              </w:rPr>
              <w:t>Техникийн шаардлага</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EEE3ADC" w14:textId="11187316" w:rsidR="00DC24C3" w:rsidRPr="00DC24C3" w:rsidRDefault="00DC24C3" w:rsidP="00DC24C3">
            <w:pPr>
              <w:widowControl w:val="0"/>
              <w:suppressAutoHyphens/>
              <w:spacing w:line="240" w:lineRule="atLeast"/>
              <w:ind w:right="-14"/>
              <w:jc w:val="center"/>
              <w:rPr>
                <w:rFonts w:ascii="Times New Roman" w:hAnsi="Times New Roman"/>
                <w:bCs/>
              </w:rPr>
            </w:pPr>
            <w:r>
              <w:rPr>
                <w:rFonts w:ascii="Times New Roman" w:hAnsi="Times New Roman"/>
                <w:b/>
              </w:rPr>
              <w:t>Санал болгож буй барааны техникийн шаардлага</w:t>
            </w:r>
          </w:p>
        </w:tc>
      </w:tr>
      <w:tr w:rsidR="00DC24C3" w14:paraId="08384E95" w14:textId="77777777" w:rsidTr="00DC24C3">
        <w:trPr>
          <w:trHeight w:val="179"/>
        </w:trPr>
        <w:tc>
          <w:tcPr>
            <w:tcW w:w="280" w:type="pct"/>
            <w:tcBorders>
              <w:top w:val="single" w:sz="4" w:space="0" w:color="auto"/>
              <w:left w:val="single" w:sz="4" w:space="0" w:color="auto"/>
              <w:bottom w:val="single" w:sz="4" w:space="0" w:color="auto"/>
              <w:right w:val="single" w:sz="4" w:space="0" w:color="auto"/>
            </w:tcBorders>
            <w:vAlign w:val="center"/>
            <w:hideMark/>
          </w:tcPr>
          <w:p w14:paraId="0DF0B9AF" w14:textId="77777777" w:rsidR="00DC24C3" w:rsidRDefault="00DC24C3">
            <w:pPr>
              <w:widowControl w:val="0"/>
              <w:suppressAutoHyphens/>
              <w:spacing w:line="240" w:lineRule="atLeast"/>
              <w:ind w:right="-14"/>
              <w:jc w:val="center"/>
              <w:rPr>
                <w:rFonts w:ascii="Times New Roman" w:hAnsi="Times New Roman"/>
              </w:rPr>
            </w:pPr>
            <w:r>
              <w:rPr>
                <w:rFonts w:ascii="Times New Roman" w:hAnsi="Times New Roman"/>
              </w:rPr>
              <w:t>1</w:t>
            </w:r>
          </w:p>
        </w:tc>
        <w:tc>
          <w:tcPr>
            <w:tcW w:w="2350" w:type="pct"/>
            <w:tcBorders>
              <w:top w:val="single" w:sz="4" w:space="0" w:color="auto"/>
              <w:left w:val="single" w:sz="4" w:space="0" w:color="auto"/>
              <w:bottom w:val="single" w:sz="4" w:space="0" w:color="auto"/>
              <w:right w:val="single" w:sz="4" w:space="0" w:color="auto"/>
            </w:tcBorders>
            <w:hideMark/>
          </w:tcPr>
          <w:p w14:paraId="6710330E" w14:textId="77777777" w:rsidR="00DC24C3" w:rsidRDefault="00DC24C3">
            <w:pPr>
              <w:spacing w:after="0"/>
              <w:rPr>
                <w:rFonts w:ascii="Times New Roman" w:hAnsi="Times New Roman"/>
                <w:bCs/>
              </w:rPr>
            </w:pPr>
            <w:r>
              <w:rPr>
                <w:rFonts w:ascii="Times New Roman" w:hAnsi="Times New Roman"/>
                <w:bCs/>
              </w:rPr>
              <w:t>Body:</w:t>
            </w:r>
          </w:p>
          <w:p w14:paraId="7383A109" w14:textId="77777777" w:rsidR="00DC24C3" w:rsidRDefault="00DC24C3">
            <w:pPr>
              <w:spacing w:after="0"/>
              <w:rPr>
                <w:rFonts w:ascii="Times New Roman" w:hAnsi="Times New Roman"/>
                <w:bCs/>
              </w:rPr>
            </w:pPr>
            <w:r>
              <w:rPr>
                <w:rFonts w:ascii="Times New Roman" w:hAnsi="Times New Roman"/>
                <w:bCs/>
              </w:rPr>
              <w:t>Size A4; paperback; black/white print</w:t>
            </w:r>
          </w:p>
          <w:p w14:paraId="1BC5C744" w14:textId="77777777" w:rsidR="00DC24C3" w:rsidRDefault="00DC24C3">
            <w:pPr>
              <w:spacing w:after="0"/>
              <w:rPr>
                <w:rFonts w:ascii="Times New Roman" w:hAnsi="Times New Roman"/>
                <w:bCs/>
              </w:rPr>
            </w:pPr>
            <w:r>
              <w:rPr>
                <w:rFonts w:ascii="Times New Roman" w:hAnsi="Times New Roman"/>
                <w:bCs/>
              </w:rPr>
              <w:t xml:space="preserve">200 pages; </w:t>
            </w:r>
          </w:p>
          <w:p w14:paraId="0D7A2BE3" w14:textId="77777777" w:rsidR="00DC24C3" w:rsidRDefault="00DC24C3">
            <w:pPr>
              <w:spacing w:after="0"/>
              <w:rPr>
                <w:rFonts w:ascii="Times New Roman" w:hAnsi="Times New Roman"/>
                <w:bCs/>
              </w:rPr>
            </w:pPr>
            <w:r>
              <w:rPr>
                <w:rFonts w:ascii="Times New Roman" w:hAnsi="Times New Roman"/>
                <w:bCs/>
              </w:rPr>
              <w:t xml:space="preserve">Paper: 85gr/cm2; </w:t>
            </w:r>
          </w:p>
          <w:p w14:paraId="22F24F13" w14:textId="77777777" w:rsidR="00DC24C3" w:rsidRDefault="00DC24C3">
            <w:pPr>
              <w:spacing w:after="0"/>
              <w:rPr>
                <w:rFonts w:ascii="Times New Roman" w:hAnsi="Times New Roman"/>
                <w:bCs/>
              </w:rPr>
            </w:pPr>
            <w:r>
              <w:rPr>
                <w:rFonts w:ascii="Times New Roman" w:hAnsi="Times New Roman"/>
                <w:bCs/>
              </w:rPr>
              <w:t>white gloss</w:t>
            </w:r>
          </w:p>
        </w:tc>
        <w:tc>
          <w:tcPr>
            <w:tcW w:w="2370" w:type="pct"/>
            <w:tcBorders>
              <w:top w:val="single" w:sz="4" w:space="0" w:color="auto"/>
              <w:left w:val="single" w:sz="4" w:space="0" w:color="auto"/>
              <w:bottom w:val="single" w:sz="4" w:space="0" w:color="auto"/>
              <w:right w:val="single" w:sz="4" w:space="0" w:color="auto"/>
            </w:tcBorders>
            <w:vAlign w:val="center"/>
          </w:tcPr>
          <w:p w14:paraId="44D05ACD" w14:textId="77777777" w:rsidR="00DC24C3" w:rsidRDefault="00DC24C3">
            <w:pPr>
              <w:widowControl w:val="0"/>
              <w:suppressAutoHyphens/>
              <w:spacing w:line="240" w:lineRule="atLeast"/>
              <w:ind w:right="-14"/>
              <w:jc w:val="center"/>
              <w:rPr>
                <w:rFonts w:ascii="Times New Roman" w:hAnsi="Times New Roman"/>
                <w:b/>
              </w:rPr>
            </w:pPr>
          </w:p>
        </w:tc>
      </w:tr>
      <w:tr w:rsidR="00DC24C3" w14:paraId="531629A0" w14:textId="77777777" w:rsidTr="00DC24C3">
        <w:tc>
          <w:tcPr>
            <w:tcW w:w="280" w:type="pct"/>
            <w:tcBorders>
              <w:top w:val="single" w:sz="4" w:space="0" w:color="auto"/>
              <w:left w:val="single" w:sz="4" w:space="0" w:color="auto"/>
              <w:bottom w:val="single" w:sz="4" w:space="0" w:color="auto"/>
              <w:right w:val="single" w:sz="4" w:space="0" w:color="auto"/>
            </w:tcBorders>
            <w:vAlign w:val="center"/>
            <w:hideMark/>
          </w:tcPr>
          <w:p w14:paraId="732B5104" w14:textId="77777777" w:rsidR="00DC24C3" w:rsidRDefault="00DC24C3">
            <w:pPr>
              <w:widowControl w:val="0"/>
              <w:suppressAutoHyphens/>
              <w:spacing w:line="240" w:lineRule="atLeast"/>
              <w:ind w:right="-14"/>
              <w:jc w:val="center"/>
              <w:rPr>
                <w:rFonts w:ascii="Times New Roman" w:hAnsi="Times New Roman"/>
              </w:rPr>
            </w:pPr>
            <w:r>
              <w:rPr>
                <w:rFonts w:ascii="Times New Roman" w:hAnsi="Times New Roman"/>
              </w:rPr>
              <w:t>2</w:t>
            </w:r>
          </w:p>
        </w:tc>
        <w:tc>
          <w:tcPr>
            <w:tcW w:w="2350" w:type="pct"/>
            <w:tcBorders>
              <w:top w:val="single" w:sz="4" w:space="0" w:color="auto"/>
              <w:left w:val="single" w:sz="4" w:space="0" w:color="auto"/>
              <w:bottom w:val="single" w:sz="4" w:space="0" w:color="auto"/>
              <w:right w:val="single" w:sz="4" w:space="0" w:color="auto"/>
            </w:tcBorders>
            <w:hideMark/>
          </w:tcPr>
          <w:p w14:paraId="5FCFEAB5" w14:textId="77777777" w:rsidR="00DC24C3" w:rsidRDefault="00DC24C3">
            <w:pPr>
              <w:spacing w:after="0"/>
              <w:rPr>
                <w:rFonts w:ascii="Times New Roman" w:hAnsi="Times New Roman"/>
                <w:bCs/>
              </w:rPr>
            </w:pPr>
            <w:r>
              <w:rPr>
                <w:rFonts w:ascii="Times New Roman" w:hAnsi="Times New Roman"/>
                <w:bCs/>
              </w:rPr>
              <w:t>Cover page:</w:t>
            </w:r>
          </w:p>
          <w:p w14:paraId="466BFD17" w14:textId="77777777" w:rsidR="00DC24C3" w:rsidRDefault="00DC24C3">
            <w:pPr>
              <w:spacing w:after="0"/>
              <w:rPr>
                <w:rFonts w:ascii="Times New Roman" w:hAnsi="Times New Roman"/>
                <w:bCs/>
              </w:rPr>
            </w:pPr>
            <w:r>
              <w:rPr>
                <w:rFonts w:ascii="Times New Roman" w:hAnsi="Times New Roman"/>
                <w:bCs/>
              </w:rPr>
              <w:t>250gr/cm2; color print</w:t>
            </w:r>
          </w:p>
          <w:p w14:paraId="37D9454E" w14:textId="77777777" w:rsidR="00DC24C3" w:rsidRDefault="00DC24C3">
            <w:pPr>
              <w:spacing w:after="0"/>
              <w:rPr>
                <w:rFonts w:ascii="Times New Roman" w:hAnsi="Times New Roman"/>
                <w:bCs/>
              </w:rPr>
            </w:pPr>
            <w:r>
              <w:rPr>
                <w:rFonts w:ascii="Times New Roman" w:hAnsi="Times New Roman"/>
                <w:bCs/>
              </w:rPr>
              <w:t xml:space="preserve">Laminate layer surface, matt </w:t>
            </w:r>
          </w:p>
        </w:tc>
        <w:tc>
          <w:tcPr>
            <w:tcW w:w="2370" w:type="pct"/>
            <w:tcBorders>
              <w:top w:val="single" w:sz="4" w:space="0" w:color="auto"/>
              <w:left w:val="single" w:sz="4" w:space="0" w:color="auto"/>
              <w:bottom w:val="single" w:sz="4" w:space="0" w:color="auto"/>
              <w:right w:val="single" w:sz="4" w:space="0" w:color="auto"/>
            </w:tcBorders>
            <w:vAlign w:val="center"/>
          </w:tcPr>
          <w:p w14:paraId="25449508" w14:textId="77777777" w:rsidR="00DC24C3" w:rsidRDefault="00DC24C3">
            <w:pPr>
              <w:widowControl w:val="0"/>
              <w:suppressAutoHyphens/>
              <w:spacing w:line="240" w:lineRule="atLeast"/>
              <w:ind w:right="-14"/>
              <w:jc w:val="center"/>
              <w:rPr>
                <w:rFonts w:ascii="Times New Roman" w:hAnsi="Times New Roman"/>
              </w:rPr>
            </w:pPr>
          </w:p>
        </w:tc>
      </w:tr>
    </w:tbl>
    <w:p w14:paraId="04DCE9CE" w14:textId="77777777" w:rsidR="002512E0" w:rsidRPr="00D7796A" w:rsidRDefault="002512E0" w:rsidP="002512E0">
      <w:pPr>
        <w:spacing w:after="0"/>
        <w:rPr>
          <w:rFonts w:ascii="Times New Roman" w:hAnsi="Times New Roman" w:cs="Times New Roman"/>
          <w:sz w:val="24"/>
          <w:szCs w:val="24"/>
        </w:rPr>
      </w:pPr>
    </w:p>
    <w:p w14:paraId="2A02243E" w14:textId="77777777" w:rsidR="002512E0" w:rsidRPr="00D7796A" w:rsidRDefault="002512E0" w:rsidP="002512E0">
      <w:pPr>
        <w:jc w:val="both"/>
        <w:rPr>
          <w:rFonts w:ascii="Times New Roman" w:eastAsia="Times New Roman" w:hAnsi="Times New Roman" w:cs="Times New Roman"/>
          <w:sz w:val="24"/>
          <w:szCs w:val="24"/>
          <w:lang w:eastAsia="mn-MN"/>
        </w:rPr>
      </w:pPr>
      <w:r w:rsidRPr="00D7796A">
        <w:rPr>
          <w:rFonts w:ascii="Times New Roman" w:hAnsi="Times New Roman" w:cs="Times New Roman"/>
          <w:bCs/>
          <w:i/>
          <w:sz w:val="24"/>
          <w:szCs w:val="24"/>
        </w:rPr>
        <w:t>Санамж: Үнийн саналыг бараа бүтээгдэхүүний техникийн шаардлагатай харьцуулан үнэлэх тул санал болгож буй Бараа бүтээгдэхүүний техникийн үзүүлэлтийг захиалагчаас ирүүлсэн хүснэгтийн харгалзах нүдэнд дэлгэрэнгүй, тодорхой оруулах шаардлагатай.</w:t>
      </w:r>
    </w:p>
    <w:p w14:paraId="6BC60311" w14:textId="1AC11F8E" w:rsidR="00947DE0" w:rsidRDefault="00947DE0" w:rsidP="001B5143">
      <w:pPr>
        <w:spacing w:after="0" w:line="276" w:lineRule="auto"/>
        <w:rPr>
          <w:rFonts w:ascii="Times New Roman" w:hAnsi="Times New Roman" w:cs="Times New Roman"/>
          <w:bCs/>
          <w:i/>
          <w:sz w:val="24"/>
          <w:szCs w:val="24"/>
        </w:rPr>
      </w:pPr>
    </w:p>
    <w:p w14:paraId="7DE449E6" w14:textId="39F3E90D" w:rsidR="00251B28" w:rsidRDefault="00251B28" w:rsidP="001B5143">
      <w:pPr>
        <w:spacing w:after="0" w:line="276" w:lineRule="auto"/>
        <w:rPr>
          <w:rFonts w:ascii="Times New Roman" w:hAnsi="Times New Roman" w:cs="Times New Roman"/>
          <w:bCs/>
          <w:i/>
          <w:sz w:val="24"/>
          <w:szCs w:val="24"/>
        </w:rPr>
      </w:pPr>
    </w:p>
    <w:p w14:paraId="5D407229" w14:textId="0C6871F4" w:rsidR="00251B28" w:rsidRDefault="00251B28" w:rsidP="001B5143">
      <w:pPr>
        <w:spacing w:after="0" w:line="276" w:lineRule="auto"/>
        <w:rPr>
          <w:rFonts w:ascii="Times New Roman" w:hAnsi="Times New Roman" w:cs="Times New Roman"/>
          <w:bCs/>
          <w:i/>
          <w:sz w:val="24"/>
          <w:szCs w:val="24"/>
        </w:rPr>
      </w:pPr>
    </w:p>
    <w:p w14:paraId="1DE85610" w14:textId="753A7508" w:rsidR="00251B28" w:rsidRDefault="00251B28" w:rsidP="001B5143">
      <w:pPr>
        <w:spacing w:after="0" w:line="276" w:lineRule="auto"/>
        <w:rPr>
          <w:rFonts w:ascii="Times New Roman" w:hAnsi="Times New Roman" w:cs="Times New Roman"/>
          <w:bCs/>
          <w:i/>
          <w:sz w:val="24"/>
          <w:szCs w:val="24"/>
        </w:rPr>
      </w:pPr>
    </w:p>
    <w:p w14:paraId="1F190EE1" w14:textId="54BD01CD" w:rsidR="00784F81" w:rsidRPr="00784F81" w:rsidRDefault="00784F81" w:rsidP="00784F81">
      <w:pPr>
        <w:spacing w:line="240" w:lineRule="atLeast"/>
        <w:ind w:right="-90"/>
        <w:jc w:val="right"/>
        <w:rPr>
          <w:rFonts w:ascii="Times New Roman" w:hAnsi="Times New Roman" w:cs="Times New Roman"/>
          <w:b/>
          <w:sz w:val="24"/>
          <w:szCs w:val="24"/>
          <w:u w:val="single"/>
          <w:lang w:val="en-US"/>
        </w:rPr>
      </w:pPr>
      <w:r w:rsidRPr="00D7796A">
        <w:rPr>
          <w:rFonts w:ascii="Times New Roman" w:hAnsi="Times New Roman" w:cs="Times New Roman"/>
          <w:b/>
          <w:sz w:val="24"/>
          <w:szCs w:val="24"/>
          <w:u w:val="single"/>
        </w:rPr>
        <w:lastRenderedPageBreak/>
        <w:t xml:space="preserve">ХАВСРАЛТ </w:t>
      </w:r>
      <w:r>
        <w:rPr>
          <w:rFonts w:ascii="Times New Roman" w:hAnsi="Times New Roman" w:cs="Times New Roman"/>
          <w:b/>
          <w:sz w:val="24"/>
          <w:szCs w:val="24"/>
          <w:u w:val="single"/>
          <w:lang w:val="en-US"/>
        </w:rPr>
        <w:t>3</w:t>
      </w:r>
    </w:p>
    <w:p w14:paraId="5C550A6A" w14:textId="2B8DA919" w:rsidR="00784F81" w:rsidRPr="00F05FBB" w:rsidRDefault="00784F81" w:rsidP="00784F81">
      <w:pPr>
        <w:jc w:val="center"/>
        <w:rPr>
          <w:rFonts w:ascii="Times New Roman" w:hAnsi="Times New Roman" w:cs="Times New Roman"/>
          <w:b/>
          <w:bCs/>
        </w:rPr>
      </w:pPr>
      <w:r>
        <w:rPr>
          <w:rFonts w:ascii="Times New Roman" w:hAnsi="Times New Roman" w:cs="Times New Roman"/>
          <w:b/>
          <w:bCs/>
        </w:rPr>
        <w:t xml:space="preserve">A </w:t>
      </w:r>
      <w:r w:rsidRPr="00F05FBB">
        <w:rPr>
          <w:rFonts w:ascii="Times New Roman" w:hAnsi="Times New Roman" w:cs="Times New Roman"/>
          <w:b/>
          <w:bCs/>
        </w:rPr>
        <w:t>COMPILATION OF NORMATIVE ACTS OF THE FINANCIAL REGULATORY COMMISSION OF MONGOLIA</w:t>
      </w:r>
    </w:p>
    <w:tbl>
      <w:tblPr>
        <w:tblStyle w:val="TableGrid"/>
        <w:tblW w:w="9730" w:type="dxa"/>
        <w:tblInd w:w="-5" w:type="dxa"/>
        <w:tblLook w:val="04A0" w:firstRow="1" w:lastRow="0" w:firstColumn="1" w:lastColumn="0" w:noHBand="0" w:noVBand="1"/>
      </w:tblPr>
      <w:tblGrid>
        <w:gridCol w:w="1843"/>
        <w:gridCol w:w="3307"/>
        <w:gridCol w:w="2290"/>
        <w:gridCol w:w="2290"/>
      </w:tblGrid>
      <w:tr w:rsidR="00784F81" w:rsidRPr="00F05FBB" w14:paraId="2ECBE604" w14:textId="77777777" w:rsidTr="00784F81">
        <w:trPr>
          <w:trHeight w:val="1104"/>
        </w:trPr>
        <w:tc>
          <w:tcPr>
            <w:tcW w:w="1843" w:type="dxa"/>
            <w:vAlign w:val="center"/>
          </w:tcPr>
          <w:p w14:paraId="5A9F47E4" w14:textId="77777777" w:rsidR="00784F81" w:rsidRPr="00757B2E" w:rsidRDefault="00784F81" w:rsidP="00BE41FA">
            <w:pPr>
              <w:jc w:val="center"/>
              <w:rPr>
                <w:rFonts w:ascii="Times New Roman" w:hAnsi="Times New Roman" w:cs="Times New Roman"/>
              </w:rPr>
            </w:pPr>
            <w:r w:rsidRPr="00F05FBB">
              <w:rPr>
                <w:rFonts w:ascii="Times New Roman" w:hAnsi="Times New Roman" w:cs="Times New Roman"/>
                <w:b/>
                <w:lang w:val="mn-MN"/>
              </w:rPr>
              <w:t>№</w:t>
            </w:r>
          </w:p>
        </w:tc>
        <w:tc>
          <w:tcPr>
            <w:tcW w:w="3307" w:type="dxa"/>
            <w:vAlign w:val="center"/>
          </w:tcPr>
          <w:p w14:paraId="2B95D716" w14:textId="77777777" w:rsidR="00784F81" w:rsidRPr="00F05FBB" w:rsidRDefault="00784F81" w:rsidP="00BE41FA">
            <w:pPr>
              <w:jc w:val="center"/>
              <w:rPr>
                <w:rFonts w:ascii="Times New Roman" w:hAnsi="Times New Roman" w:cs="Times New Roman"/>
                <w:b/>
                <w:bCs/>
              </w:rPr>
            </w:pPr>
            <w:r w:rsidRPr="00F05FBB">
              <w:rPr>
                <w:rFonts w:ascii="Times New Roman" w:hAnsi="Times New Roman" w:cs="Times New Roman"/>
                <w:b/>
                <w:bCs/>
              </w:rPr>
              <w:t>Title</w:t>
            </w:r>
          </w:p>
        </w:tc>
        <w:tc>
          <w:tcPr>
            <w:tcW w:w="2290" w:type="dxa"/>
            <w:vAlign w:val="center"/>
          </w:tcPr>
          <w:p w14:paraId="2E6937FE" w14:textId="77777777" w:rsidR="00784F81" w:rsidRPr="00F05FBB" w:rsidRDefault="00784F81" w:rsidP="00BE41FA">
            <w:pPr>
              <w:jc w:val="center"/>
              <w:rPr>
                <w:rFonts w:ascii="Times New Roman" w:hAnsi="Times New Roman" w:cs="Times New Roman"/>
                <w:b/>
                <w:bCs/>
              </w:rPr>
            </w:pPr>
            <w:r w:rsidRPr="00F05FBB">
              <w:rPr>
                <w:rFonts w:ascii="Times New Roman" w:hAnsi="Times New Roman" w:cs="Times New Roman"/>
                <w:b/>
                <w:bCs/>
              </w:rPr>
              <w:t xml:space="preserve">Number of </w:t>
            </w:r>
            <w:proofErr w:type="gramStart"/>
            <w:r w:rsidRPr="00F05FBB">
              <w:rPr>
                <w:rFonts w:ascii="Times New Roman" w:hAnsi="Times New Roman" w:cs="Times New Roman"/>
                <w:b/>
                <w:bCs/>
              </w:rPr>
              <w:t>acts  in</w:t>
            </w:r>
            <w:r>
              <w:rPr>
                <w:rFonts w:ascii="Times New Roman" w:hAnsi="Times New Roman" w:cs="Times New Roman"/>
                <w:b/>
                <w:bCs/>
              </w:rPr>
              <w:t>cluded</w:t>
            </w:r>
            <w:proofErr w:type="gramEnd"/>
            <w:r>
              <w:rPr>
                <w:rFonts w:ascii="Times New Roman" w:hAnsi="Times New Roman" w:cs="Times New Roman"/>
                <w:b/>
                <w:bCs/>
              </w:rPr>
              <w:t xml:space="preserve"> in</w:t>
            </w:r>
            <w:r w:rsidRPr="00F05FBB">
              <w:rPr>
                <w:rFonts w:ascii="Times New Roman" w:hAnsi="Times New Roman" w:cs="Times New Roman"/>
                <w:b/>
                <w:bCs/>
              </w:rPr>
              <w:t xml:space="preserve"> the compilation</w:t>
            </w:r>
          </w:p>
        </w:tc>
        <w:tc>
          <w:tcPr>
            <w:tcW w:w="2290" w:type="dxa"/>
            <w:vAlign w:val="center"/>
          </w:tcPr>
          <w:p w14:paraId="1595CC50" w14:textId="77777777" w:rsidR="00784F81" w:rsidRPr="00F05FBB" w:rsidRDefault="00784F81" w:rsidP="00BE41FA">
            <w:pPr>
              <w:jc w:val="center"/>
              <w:rPr>
                <w:rFonts w:ascii="Times New Roman" w:hAnsi="Times New Roman" w:cs="Times New Roman"/>
                <w:b/>
                <w:bCs/>
              </w:rPr>
            </w:pPr>
            <w:r w:rsidRPr="00F05FBB">
              <w:rPr>
                <w:rFonts w:ascii="Times New Roman" w:hAnsi="Times New Roman" w:cs="Times New Roman"/>
                <w:b/>
                <w:bCs/>
              </w:rPr>
              <w:t>Total number of pages</w:t>
            </w:r>
          </w:p>
        </w:tc>
      </w:tr>
      <w:tr w:rsidR="00784F81" w:rsidRPr="00F05FBB" w14:paraId="11DA84F5" w14:textId="77777777" w:rsidTr="00784F81">
        <w:trPr>
          <w:trHeight w:val="1104"/>
        </w:trPr>
        <w:tc>
          <w:tcPr>
            <w:tcW w:w="1843" w:type="dxa"/>
            <w:vAlign w:val="center"/>
          </w:tcPr>
          <w:p w14:paraId="5F43EFD5" w14:textId="77777777" w:rsidR="00784F81" w:rsidRPr="00F05FBB" w:rsidRDefault="00784F81" w:rsidP="00BE41FA">
            <w:pPr>
              <w:jc w:val="center"/>
              <w:rPr>
                <w:rFonts w:ascii="Times New Roman" w:hAnsi="Times New Roman" w:cs="Times New Roman"/>
              </w:rPr>
            </w:pPr>
            <w:r w:rsidRPr="00F05FBB">
              <w:rPr>
                <w:rFonts w:ascii="Times New Roman" w:hAnsi="Times New Roman" w:cs="Times New Roman"/>
              </w:rPr>
              <w:t>Volume 1</w:t>
            </w:r>
          </w:p>
        </w:tc>
        <w:tc>
          <w:tcPr>
            <w:tcW w:w="3307" w:type="dxa"/>
          </w:tcPr>
          <w:p w14:paraId="4C54AA0D" w14:textId="77777777" w:rsidR="00784F81" w:rsidRPr="00F05FBB" w:rsidRDefault="00784F81" w:rsidP="00BE41FA">
            <w:pPr>
              <w:rPr>
                <w:rFonts w:ascii="Times New Roman" w:hAnsi="Times New Roman" w:cs="Times New Roman"/>
                <w:i/>
                <w:iCs/>
              </w:rPr>
            </w:pPr>
            <w:r w:rsidRPr="00F05FBB">
              <w:rPr>
                <w:rFonts w:ascii="Times New Roman" w:hAnsi="Times New Roman" w:cs="Times New Roman"/>
                <w:i/>
                <w:iCs/>
              </w:rPr>
              <w:t xml:space="preserve">Compilation of normative administrative acts regarding to insurance regulation </w:t>
            </w:r>
          </w:p>
        </w:tc>
        <w:tc>
          <w:tcPr>
            <w:tcW w:w="2290" w:type="dxa"/>
            <w:vAlign w:val="center"/>
          </w:tcPr>
          <w:p w14:paraId="670C8F3C" w14:textId="77777777" w:rsidR="00784F81" w:rsidRPr="00F05FBB" w:rsidRDefault="00784F81" w:rsidP="00BE41FA">
            <w:pPr>
              <w:jc w:val="center"/>
              <w:rPr>
                <w:rFonts w:ascii="Times New Roman" w:hAnsi="Times New Roman" w:cs="Times New Roman"/>
              </w:rPr>
            </w:pPr>
            <w:r w:rsidRPr="00F05FBB">
              <w:rPr>
                <w:rFonts w:ascii="Times New Roman" w:hAnsi="Times New Roman" w:cs="Times New Roman"/>
              </w:rPr>
              <w:t>13</w:t>
            </w:r>
          </w:p>
        </w:tc>
        <w:tc>
          <w:tcPr>
            <w:tcW w:w="2290" w:type="dxa"/>
            <w:vAlign w:val="center"/>
          </w:tcPr>
          <w:p w14:paraId="67DFDAD1" w14:textId="77777777" w:rsidR="00784F81" w:rsidRPr="00F05FBB" w:rsidRDefault="00784F81" w:rsidP="00BE41FA">
            <w:pPr>
              <w:jc w:val="center"/>
              <w:rPr>
                <w:rFonts w:ascii="Times New Roman" w:hAnsi="Times New Roman" w:cs="Times New Roman"/>
              </w:rPr>
            </w:pPr>
            <w:r w:rsidRPr="00F05FBB">
              <w:rPr>
                <w:rFonts w:ascii="Times New Roman" w:hAnsi="Times New Roman" w:cs="Times New Roman"/>
              </w:rPr>
              <w:t>371</w:t>
            </w:r>
          </w:p>
        </w:tc>
      </w:tr>
      <w:tr w:rsidR="00784F81" w:rsidRPr="00F05FBB" w14:paraId="298363AE" w14:textId="77777777" w:rsidTr="00784F81">
        <w:trPr>
          <w:trHeight w:val="1104"/>
        </w:trPr>
        <w:tc>
          <w:tcPr>
            <w:tcW w:w="1843" w:type="dxa"/>
            <w:vAlign w:val="center"/>
          </w:tcPr>
          <w:p w14:paraId="072B563E" w14:textId="77777777" w:rsidR="00784F81" w:rsidRPr="00F05FBB" w:rsidRDefault="00784F81" w:rsidP="00BE41FA">
            <w:pPr>
              <w:jc w:val="center"/>
              <w:rPr>
                <w:rFonts w:ascii="Times New Roman" w:hAnsi="Times New Roman" w:cs="Times New Roman"/>
              </w:rPr>
            </w:pPr>
            <w:r w:rsidRPr="00F05FBB">
              <w:rPr>
                <w:rFonts w:ascii="Times New Roman" w:hAnsi="Times New Roman" w:cs="Times New Roman"/>
              </w:rPr>
              <w:t>Volume 2</w:t>
            </w:r>
          </w:p>
        </w:tc>
        <w:tc>
          <w:tcPr>
            <w:tcW w:w="3307" w:type="dxa"/>
          </w:tcPr>
          <w:p w14:paraId="24983495" w14:textId="77777777" w:rsidR="00784F81" w:rsidRPr="00F05FBB" w:rsidRDefault="00784F81" w:rsidP="00BE41FA">
            <w:pPr>
              <w:rPr>
                <w:rFonts w:ascii="Times New Roman" w:hAnsi="Times New Roman" w:cs="Times New Roman"/>
                <w:i/>
                <w:iCs/>
              </w:rPr>
            </w:pPr>
            <w:r w:rsidRPr="00F05FBB">
              <w:rPr>
                <w:rFonts w:ascii="Times New Roman" w:hAnsi="Times New Roman" w:cs="Times New Roman"/>
                <w:i/>
                <w:iCs/>
              </w:rPr>
              <w:t>Compilation of normative administrative acts regarding to securities market</w:t>
            </w:r>
          </w:p>
        </w:tc>
        <w:tc>
          <w:tcPr>
            <w:tcW w:w="2290" w:type="dxa"/>
            <w:vAlign w:val="center"/>
          </w:tcPr>
          <w:p w14:paraId="7E260A79" w14:textId="77777777" w:rsidR="00784F81" w:rsidRPr="00F05FBB" w:rsidRDefault="00784F81" w:rsidP="00BE41FA">
            <w:pPr>
              <w:jc w:val="center"/>
              <w:rPr>
                <w:rFonts w:ascii="Times New Roman" w:hAnsi="Times New Roman" w:cs="Times New Roman"/>
              </w:rPr>
            </w:pPr>
            <w:r w:rsidRPr="00F05FBB">
              <w:rPr>
                <w:rFonts w:ascii="Times New Roman" w:hAnsi="Times New Roman" w:cs="Times New Roman"/>
              </w:rPr>
              <w:t>11</w:t>
            </w:r>
          </w:p>
        </w:tc>
        <w:tc>
          <w:tcPr>
            <w:tcW w:w="2290" w:type="dxa"/>
            <w:vAlign w:val="center"/>
          </w:tcPr>
          <w:p w14:paraId="146CB5B4" w14:textId="77777777" w:rsidR="00784F81" w:rsidRPr="00F05FBB" w:rsidRDefault="00784F81" w:rsidP="00BE41FA">
            <w:pPr>
              <w:jc w:val="center"/>
              <w:rPr>
                <w:rFonts w:ascii="Times New Roman" w:hAnsi="Times New Roman" w:cs="Times New Roman"/>
              </w:rPr>
            </w:pPr>
            <w:r w:rsidRPr="00F05FBB">
              <w:rPr>
                <w:rFonts w:ascii="Times New Roman" w:hAnsi="Times New Roman" w:cs="Times New Roman"/>
              </w:rPr>
              <w:t>2</w:t>
            </w:r>
            <w:r>
              <w:rPr>
                <w:rFonts w:ascii="Times New Roman" w:hAnsi="Times New Roman" w:cs="Times New Roman"/>
              </w:rPr>
              <w:t>50</w:t>
            </w:r>
          </w:p>
        </w:tc>
      </w:tr>
      <w:tr w:rsidR="00784F81" w:rsidRPr="00F05FBB" w14:paraId="65482840" w14:textId="77777777" w:rsidTr="00784F81">
        <w:trPr>
          <w:trHeight w:val="1104"/>
        </w:trPr>
        <w:tc>
          <w:tcPr>
            <w:tcW w:w="1843" w:type="dxa"/>
            <w:vAlign w:val="center"/>
          </w:tcPr>
          <w:p w14:paraId="3093C0E9" w14:textId="77777777" w:rsidR="00784F81" w:rsidRPr="00F05FBB" w:rsidRDefault="00784F81" w:rsidP="00BE41FA">
            <w:pPr>
              <w:jc w:val="center"/>
              <w:rPr>
                <w:rFonts w:ascii="Times New Roman" w:hAnsi="Times New Roman" w:cs="Times New Roman"/>
              </w:rPr>
            </w:pPr>
            <w:r w:rsidRPr="00F05FBB">
              <w:rPr>
                <w:rFonts w:ascii="Times New Roman" w:hAnsi="Times New Roman" w:cs="Times New Roman"/>
              </w:rPr>
              <w:t>Volume 3</w:t>
            </w:r>
          </w:p>
        </w:tc>
        <w:tc>
          <w:tcPr>
            <w:tcW w:w="3307" w:type="dxa"/>
          </w:tcPr>
          <w:p w14:paraId="2F5C750D" w14:textId="77777777" w:rsidR="00784F81" w:rsidRPr="00F05FBB" w:rsidRDefault="00784F81" w:rsidP="00BE41FA">
            <w:pPr>
              <w:rPr>
                <w:rFonts w:ascii="Times New Roman" w:hAnsi="Times New Roman" w:cs="Times New Roman"/>
                <w:i/>
                <w:iCs/>
              </w:rPr>
            </w:pPr>
            <w:r w:rsidRPr="00F05FBB">
              <w:rPr>
                <w:rFonts w:ascii="Times New Roman" w:hAnsi="Times New Roman" w:cs="Times New Roman"/>
                <w:i/>
                <w:iCs/>
              </w:rPr>
              <w:t xml:space="preserve">Compilation of </w:t>
            </w:r>
            <w:r>
              <w:rPr>
                <w:rFonts w:ascii="Times New Roman" w:hAnsi="Times New Roman" w:cs="Times New Roman"/>
                <w:i/>
                <w:iCs/>
              </w:rPr>
              <w:t>regulations</w:t>
            </w:r>
            <w:r w:rsidRPr="00F05FBB">
              <w:rPr>
                <w:rFonts w:ascii="Times New Roman" w:hAnsi="Times New Roman" w:cs="Times New Roman"/>
                <w:i/>
                <w:iCs/>
              </w:rPr>
              <w:t xml:space="preserve"> regarding </w:t>
            </w:r>
            <w:r>
              <w:rPr>
                <w:rFonts w:ascii="Times New Roman" w:hAnsi="Times New Roman" w:cs="Times New Roman"/>
                <w:i/>
                <w:iCs/>
              </w:rPr>
              <w:t xml:space="preserve">to </w:t>
            </w:r>
            <w:r w:rsidRPr="00F05FBB">
              <w:rPr>
                <w:rFonts w:ascii="Times New Roman" w:hAnsi="Times New Roman" w:cs="Times New Roman"/>
                <w:i/>
                <w:iCs/>
              </w:rPr>
              <w:t xml:space="preserve">real estate brokerage, precious metals and stones, anti-money laundering. </w:t>
            </w:r>
          </w:p>
        </w:tc>
        <w:tc>
          <w:tcPr>
            <w:tcW w:w="2290" w:type="dxa"/>
            <w:vAlign w:val="center"/>
          </w:tcPr>
          <w:p w14:paraId="0903355D" w14:textId="77777777" w:rsidR="00784F81" w:rsidRPr="00F05FBB" w:rsidRDefault="00784F81" w:rsidP="00BE41FA">
            <w:pPr>
              <w:jc w:val="center"/>
              <w:rPr>
                <w:rFonts w:ascii="Times New Roman" w:hAnsi="Times New Roman" w:cs="Times New Roman"/>
              </w:rPr>
            </w:pPr>
            <w:r w:rsidRPr="00F05FBB">
              <w:rPr>
                <w:rFonts w:ascii="Times New Roman" w:hAnsi="Times New Roman" w:cs="Times New Roman"/>
              </w:rPr>
              <w:t>9</w:t>
            </w:r>
          </w:p>
        </w:tc>
        <w:tc>
          <w:tcPr>
            <w:tcW w:w="2290" w:type="dxa"/>
            <w:vAlign w:val="center"/>
          </w:tcPr>
          <w:p w14:paraId="5B22E8C1" w14:textId="77777777" w:rsidR="00784F81" w:rsidRPr="00F05FBB" w:rsidRDefault="00784F81" w:rsidP="00BE41FA">
            <w:pPr>
              <w:jc w:val="center"/>
              <w:rPr>
                <w:rFonts w:ascii="Times New Roman" w:hAnsi="Times New Roman" w:cs="Times New Roman"/>
              </w:rPr>
            </w:pPr>
            <w:r>
              <w:rPr>
                <w:rFonts w:ascii="Times New Roman" w:hAnsi="Times New Roman" w:cs="Times New Roman"/>
              </w:rPr>
              <w:t>200</w:t>
            </w:r>
          </w:p>
        </w:tc>
      </w:tr>
    </w:tbl>
    <w:p w14:paraId="1C3D0DEC" w14:textId="77777777" w:rsidR="00784F81" w:rsidRDefault="00784F81" w:rsidP="00784F81"/>
    <w:p w14:paraId="6D4BD513" w14:textId="77777777" w:rsidR="00784F81" w:rsidRDefault="00784F81" w:rsidP="00784F81"/>
    <w:p w14:paraId="113A188A" w14:textId="77777777" w:rsidR="00784F81" w:rsidRDefault="00784F81" w:rsidP="00784F81"/>
    <w:p w14:paraId="7CCC297D" w14:textId="77777777" w:rsidR="00784F81" w:rsidRDefault="00784F81" w:rsidP="00784F81"/>
    <w:p w14:paraId="3F60ABED" w14:textId="77777777" w:rsidR="00784F81" w:rsidRDefault="00784F81" w:rsidP="00784F81"/>
    <w:p w14:paraId="7AB08553" w14:textId="77777777" w:rsidR="00784F81" w:rsidRDefault="00784F81" w:rsidP="00784F81"/>
    <w:p w14:paraId="60F7C660" w14:textId="77777777" w:rsidR="00784F81" w:rsidRDefault="00784F81" w:rsidP="00784F81"/>
    <w:p w14:paraId="1C822938" w14:textId="77777777" w:rsidR="00784F81" w:rsidRDefault="00784F81" w:rsidP="00784F81"/>
    <w:p w14:paraId="487402BD" w14:textId="77777777" w:rsidR="00784F81" w:rsidRDefault="00784F81" w:rsidP="00784F81"/>
    <w:p w14:paraId="2599EBBF" w14:textId="77777777" w:rsidR="00784F81" w:rsidRDefault="00784F81" w:rsidP="00784F81"/>
    <w:p w14:paraId="1CF5C51F" w14:textId="77777777" w:rsidR="00784F81" w:rsidRDefault="00784F81" w:rsidP="00784F81"/>
    <w:p w14:paraId="1B97FBB9" w14:textId="77777777" w:rsidR="00784F81" w:rsidRDefault="00784F81" w:rsidP="00784F81"/>
    <w:p w14:paraId="30A0AA4C" w14:textId="77777777" w:rsidR="00784F81" w:rsidRDefault="00784F81" w:rsidP="00784F81"/>
    <w:p w14:paraId="1EB1E108" w14:textId="77777777" w:rsidR="00784F81" w:rsidRDefault="00784F81" w:rsidP="00784F81"/>
    <w:p w14:paraId="2912A4F5" w14:textId="77777777" w:rsidR="00784F81" w:rsidRDefault="00784F81" w:rsidP="00784F81"/>
    <w:p w14:paraId="4B4F158F" w14:textId="77777777" w:rsidR="00784F81" w:rsidRDefault="00784F81" w:rsidP="00784F81"/>
    <w:p w14:paraId="33FADE86" w14:textId="77777777" w:rsidR="00784F81" w:rsidRDefault="00784F81" w:rsidP="00784F81"/>
    <w:p w14:paraId="3A3790C6" w14:textId="77777777" w:rsidR="00784F81" w:rsidRDefault="00784F81" w:rsidP="00784F81"/>
    <w:p w14:paraId="00B9CA75" w14:textId="77777777" w:rsidR="00784F81" w:rsidRDefault="00784F81" w:rsidP="00784F81"/>
    <w:p w14:paraId="7298ABC4" w14:textId="77777777" w:rsidR="00784F81" w:rsidRDefault="00784F81" w:rsidP="00784F81"/>
    <w:p w14:paraId="6602600F" w14:textId="77777777" w:rsidR="00784F81" w:rsidRDefault="00784F81" w:rsidP="00784F81"/>
    <w:p w14:paraId="23D5A9DE" w14:textId="77777777" w:rsidR="00784F81" w:rsidRPr="00757B2E" w:rsidRDefault="00784F81" w:rsidP="00784F81">
      <w:pPr>
        <w:jc w:val="center"/>
        <w:rPr>
          <w:b/>
          <w:bCs/>
        </w:rPr>
      </w:pPr>
      <w:r w:rsidRPr="00757B2E">
        <w:rPr>
          <w:b/>
          <w:bCs/>
        </w:rPr>
        <w:lastRenderedPageBreak/>
        <w:t xml:space="preserve">INSURANCE </w:t>
      </w:r>
      <w:r w:rsidRPr="00EE34C1">
        <w:rPr>
          <w:b/>
          <w:bCs/>
          <w:caps/>
        </w:rPr>
        <w:t>market</w:t>
      </w:r>
    </w:p>
    <w:tbl>
      <w:tblPr>
        <w:tblStyle w:val="TableGrid"/>
        <w:tblW w:w="9829" w:type="dxa"/>
        <w:tblLook w:val="04A0" w:firstRow="1" w:lastRow="0" w:firstColumn="1" w:lastColumn="0" w:noHBand="0" w:noVBand="1"/>
      </w:tblPr>
      <w:tblGrid>
        <w:gridCol w:w="562"/>
        <w:gridCol w:w="2127"/>
        <w:gridCol w:w="5953"/>
        <w:gridCol w:w="1187"/>
      </w:tblGrid>
      <w:tr w:rsidR="00784F81" w14:paraId="0FA423DF" w14:textId="77777777" w:rsidTr="00BE41FA">
        <w:trPr>
          <w:trHeight w:val="880"/>
        </w:trPr>
        <w:tc>
          <w:tcPr>
            <w:tcW w:w="562" w:type="dxa"/>
            <w:vAlign w:val="center"/>
          </w:tcPr>
          <w:p w14:paraId="4A038DC8" w14:textId="77777777" w:rsidR="00784F81" w:rsidRDefault="00784F81" w:rsidP="00BE41FA">
            <w:pPr>
              <w:jc w:val="center"/>
            </w:pPr>
            <w:r w:rsidRPr="00C847B9">
              <w:rPr>
                <w:rFonts w:ascii="Times New Roman" w:hAnsi="Times New Roman" w:cs="Times New Roman"/>
                <w:b/>
                <w:lang w:val="mn-MN"/>
              </w:rPr>
              <w:t>№</w:t>
            </w:r>
          </w:p>
        </w:tc>
        <w:tc>
          <w:tcPr>
            <w:tcW w:w="2127" w:type="dxa"/>
            <w:vAlign w:val="center"/>
          </w:tcPr>
          <w:p w14:paraId="05630D39" w14:textId="77777777" w:rsidR="00784F81" w:rsidRDefault="00784F81" w:rsidP="00BE41FA">
            <w:pPr>
              <w:jc w:val="center"/>
            </w:pPr>
            <w:r>
              <w:t xml:space="preserve">STATE REGISTRATION NUMBER </w:t>
            </w:r>
          </w:p>
        </w:tc>
        <w:tc>
          <w:tcPr>
            <w:tcW w:w="5953" w:type="dxa"/>
            <w:vAlign w:val="center"/>
          </w:tcPr>
          <w:p w14:paraId="43FEF5D6" w14:textId="77777777" w:rsidR="00784F81" w:rsidRDefault="00784F81" w:rsidP="00BE41FA">
            <w:pPr>
              <w:jc w:val="center"/>
            </w:pPr>
            <w:r>
              <w:t>TITLE</w:t>
            </w:r>
          </w:p>
        </w:tc>
        <w:tc>
          <w:tcPr>
            <w:tcW w:w="1187" w:type="dxa"/>
            <w:vAlign w:val="center"/>
          </w:tcPr>
          <w:p w14:paraId="2729DA13" w14:textId="77777777" w:rsidR="00784F81" w:rsidRDefault="00784F81" w:rsidP="00BE41FA">
            <w:pPr>
              <w:jc w:val="center"/>
            </w:pPr>
            <w:r>
              <w:t xml:space="preserve">PAGE </w:t>
            </w:r>
          </w:p>
          <w:p w14:paraId="0B9FE1BF" w14:textId="77777777" w:rsidR="00784F81" w:rsidRDefault="00784F81" w:rsidP="00BE41FA">
            <w:pPr>
              <w:jc w:val="center"/>
            </w:pPr>
            <w:r>
              <w:t>NUMBER</w:t>
            </w:r>
          </w:p>
        </w:tc>
      </w:tr>
      <w:tr w:rsidR="00784F81" w14:paraId="38318E25" w14:textId="77777777" w:rsidTr="00BE41FA">
        <w:trPr>
          <w:trHeight w:val="880"/>
        </w:trPr>
        <w:tc>
          <w:tcPr>
            <w:tcW w:w="562" w:type="dxa"/>
            <w:vAlign w:val="center"/>
          </w:tcPr>
          <w:p w14:paraId="2700E06E" w14:textId="77777777" w:rsidR="00784F81" w:rsidRDefault="00784F81" w:rsidP="00BE41FA">
            <w:pPr>
              <w:jc w:val="center"/>
            </w:pPr>
            <w:r>
              <w:t>1</w:t>
            </w:r>
          </w:p>
        </w:tc>
        <w:tc>
          <w:tcPr>
            <w:tcW w:w="2127" w:type="dxa"/>
            <w:vAlign w:val="center"/>
          </w:tcPr>
          <w:p w14:paraId="67AE9B33" w14:textId="77777777" w:rsidR="00784F81" w:rsidRDefault="00784F81" w:rsidP="00BE41FA">
            <w:pPr>
              <w:jc w:val="center"/>
            </w:pPr>
            <w:r>
              <w:t>3944</w:t>
            </w:r>
          </w:p>
        </w:tc>
        <w:tc>
          <w:tcPr>
            <w:tcW w:w="5953" w:type="dxa"/>
          </w:tcPr>
          <w:p w14:paraId="3084D90E" w14:textId="77777777" w:rsidR="00784F81" w:rsidRPr="008313F4" w:rsidRDefault="00784F81" w:rsidP="00BE41FA">
            <w:pPr>
              <w:rPr>
                <w:b/>
                <w:bCs/>
              </w:rPr>
            </w:pPr>
            <w:r w:rsidRPr="008313F4">
              <w:rPr>
                <w:b/>
                <w:bCs/>
              </w:rPr>
              <w:t>“Voluntary insurance”</w:t>
            </w:r>
          </w:p>
          <w:p w14:paraId="7387CCA5" w14:textId="77777777" w:rsidR="00784F81" w:rsidRPr="00757B2E" w:rsidRDefault="00784F81" w:rsidP="00BE41FA">
            <w:pPr>
              <w:rPr>
                <w:i/>
                <w:iCs/>
              </w:rPr>
            </w:pPr>
            <w:r w:rsidRPr="00757B2E">
              <w:rPr>
                <w:i/>
                <w:iCs/>
              </w:rPr>
              <w:t xml:space="preserve">Resolution No. 207 of the Financial Regulatory Commission </w:t>
            </w:r>
            <w:r>
              <w:rPr>
                <w:i/>
                <w:iCs/>
              </w:rPr>
              <w:t xml:space="preserve">in 2018. </w:t>
            </w:r>
          </w:p>
        </w:tc>
        <w:tc>
          <w:tcPr>
            <w:tcW w:w="1187" w:type="dxa"/>
            <w:vAlign w:val="center"/>
          </w:tcPr>
          <w:p w14:paraId="3BC2B89F" w14:textId="77777777" w:rsidR="00784F81" w:rsidRDefault="00784F81" w:rsidP="00BE41FA">
            <w:pPr>
              <w:jc w:val="center"/>
            </w:pPr>
            <w:r>
              <w:t>4</w:t>
            </w:r>
          </w:p>
        </w:tc>
      </w:tr>
      <w:tr w:rsidR="00784F81" w14:paraId="5578A5C3" w14:textId="77777777" w:rsidTr="00BE41FA">
        <w:trPr>
          <w:trHeight w:val="880"/>
        </w:trPr>
        <w:tc>
          <w:tcPr>
            <w:tcW w:w="562" w:type="dxa"/>
            <w:vAlign w:val="center"/>
          </w:tcPr>
          <w:p w14:paraId="6026E7DF" w14:textId="77777777" w:rsidR="00784F81" w:rsidRDefault="00784F81" w:rsidP="00BE41FA">
            <w:pPr>
              <w:jc w:val="center"/>
            </w:pPr>
            <w:r>
              <w:t>2</w:t>
            </w:r>
          </w:p>
        </w:tc>
        <w:tc>
          <w:tcPr>
            <w:tcW w:w="2127" w:type="dxa"/>
            <w:vAlign w:val="center"/>
          </w:tcPr>
          <w:p w14:paraId="4F9A4C53" w14:textId="77777777" w:rsidR="00784F81" w:rsidRDefault="00784F81" w:rsidP="00BE41FA">
            <w:pPr>
              <w:jc w:val="center"/>
            </w:pPr>
            <w:r>
              <w:t>3946</w:t>
            </w:r>
          </w:p>
        </w:tc>
        <w:tc>
          <w:tcPr>
            <w:tcW w:w="5953" w:type="dxa"/>
          </w:tcPr>
          <w:p w14:paraId="6D6EDEB9" w14:textId="77777777" w:rsidR="00784F81" w:rsidRPr="008313F4" w:rsidRDefault="00784F81" w:rsidP="00BE41FA">
            <w:pPr>
              <w:rPr>
                <w:b/>
                <w:bCs/>
              </w:rPr>
            </w:pPr>
            <w:r w:rsidRPr="008313F4">
              <w:rPr>
                <w:b/>
                <w:bCs/>
              </w:rPr>
              <w:t>“Regulations on mortgage insurance”</w:t>
            </w:r>
          </w:p>
          <w:p w14:paraId="51633F7D" w14:textId="77777777" w:rsidR="00784F81" w:rsidRPr="00757B2E" w:rsidRDefault="00784F81" w:rsidP="00BE41FA">
            <w:pPr>
              <w:rPr>
                <w:i/>
                <w:iCs/>
              </w:rPr>
            </w:pPr>
            <w:r w:rsidRPr="00757B2E">
              <w:rPr>
                <w:i/>
                <w:iCs/>
              </w:rPr>
              <w:t xml:space="preserve">Resolution No. 210 </w:t>
            </w:r>
            <w:r>
              <w:rPr>
                <w:i/>
                <w:iCs/>
              </w:rPr>
              <w:t xml:space="preserve">of </w:t>
            </w:r>
            <w:r w:rsidRPr="00757B2E">
              <w:rPr>
                <w:i/>
                <w:iCs/>
              </w:rPr>
              <w:t xml:space="preserve">the Financial Regulatory Commission </w:t>
            </w:r>
            <w:r>
              <w:rPr>
                <w:i/>
                <w:iCs/>
              </w:rPr>
              <w:t xml:space="preserve">in 2018. </w:t>
            </w:r>
          </w:p>
        </w:tc>
        <w:tc>
          <w:tcPr>
            <w:tcW w:w="1187" w:type="dxa"/>
            <w:vAlign w:val="center"/>
          </w:tcPr>
          <w:p w14:paraId="678787FB" w14:textId="77777777" w:rsidR="00784F81" w:rsidRDefault="00784F81" w:rsidP="00BE41FA">
            <w:pPr>
              <w:jc w:val="center"/>
            </w:pPr>
            <w:r>
              <w:t>9</w:t>
            </w:r>
          </w:p>
        </w:tc>
      </w:tr>
      <w:tr w:rsidR="00784F81" w14:paraId="4A077DEF" w14:textId="77777777" w:rsidTr="00BE41FA">
        <w:trPr>
          <w:trHeight w:val="880"/>
        </w:trPr>
        <w:tc>
          <w:tcPr>
            <w:tcW w:w="562" w:type="dxa"/>
            <w:vAlign w:val="center"/>
          </w:tcPr>
          <w:p w14:paraId="107C142B" w14:textId="77777777" w:rsidR="00784F81" w:rsidRDefault="00784F81" w:rsidP="00BE41FA">
            <w:pPr>
              <w:jc w:val="center"/>
            </w:pPr>
            <w:r>
              <w:t>3</w:t>
            </w:r>
          </w:p>
        </w:tc>
        <w:tc>
          <w:tcPr>
            <w:tcW w:w="2127" w:type="dxa"/>
            <w:vAlign w:val="center"/>
          </w:tcPr>
          <w:p w14:paraId="031E5F6F" w14:textId="77777777" w:rsidR="00784F81" w:rsidRDefault="00784F81" w:rsidP="00BE41FA">
            <w:pPr>
              <w:jc w:val="center"/>
            </w:pPr>
            <w:r>
              <w:t>3947</w:t>
            </w:r>
          </w:p>
        </w:tc>
        <w:tc>
          <w:tcPr>
            <w:tcW w:w="5953" w:type="dxa"/>
          </w:tcPr>
          <w:p w14:paraId="3F3FE670" w14:textId="77777777" w:rsidR="00784F81" w:rsidRDefault="00784F81" w:rsidP="00BE41FA">
            <w:r w:rsidRPr="008313F4">
              <w:rPr>
                <w:b/>
                <w:bCs/>
              </w:rPr>
              <w:t>“Regulation on us</w:t>
            </w:r>
            <w:r>
              <w:rPr>
                <w:b/>
                <w:bCs/>
              </w:rPr>
              <w:t>e of coefficient to calculate driver’s insurance premium</w:t>
            </w:r>
            <w:r w:rsidRPr="008313F4">
              <w:rPr>
                <w:b/>
                <w:bCs/>
              </w:rPr>
              <w:t>”</w:t>
            </w:r>
            <w:r>
              <w:t xml:space="preserve"> </w:t>
            </w:r>
            <w:r w:rsidRPr="00757B2E">
              <w:rPr>
                <w:i/>
                <w:iCs/>
              </w:rPr>
              <w:t xml:space="preserve">Resolution No. 211 the Financial Regulatory Commission </w:t>
            </w:r>
            <w:r>
              <w:rPr>
                <w:i/>
                <w:iCs/>
              </w:rPr>
              <w:t xml:space="preserve">in 2018. </w:t>
            </w:r>
          </w:p>
        </w:tc>
        <w:tc>
          <w:tcPr>
            <w:tcW w:w="1187" w:type="dxa"/>
            <w:vAlign w:val="center"/>
          </w:tcPr>
          <w:p w14:paraId="11782A9D" w14:textId="77777777" w:rsidR="00784F81" w:rsidRDefault="00784F81" w:rsidP="00BE41FA">
            <w:pPr>
              <w:jc w:val="center"/>
            </w:pPr>
            <w:r>
              <w:t>17</w:t>
            </w:r>
          </w:p>
        </w:tc>
      </w:tr>
      <w:tr w:rsidR="00784F81" w14:paraId="3251E3F9" w14:textId="77777777" w:rsidTr="00BE41FA">
        <w:trPr>
          <w:trHeight w:val="880"/>
        </w:trPr>
        <w:tc>
          <w:tcPr>
            <w:tcW w:w="562" w:type="dxa"/>
            <w:vAlign w:val="center"/>
          </w:tcPr>
          <w:p w14:paraId="1C771CCF" w14:textId="77777777" w:rsidR="00784F81" w:rsidRDefault="00784F81" w:rsidP="00BE41FA">
            <w:pPr>
              <w:jc w:val="center"/>
            </w:pPr>
            <w:r>
              <w:t>4</w:t>
            </w:r>
          </w:p>
        </w:tc>
        <w:tc>
          <w:tcPr>
            <w:tcW w:w="2127" w:type="dxa"/>
            <w:vAlign w:val="center"/>
          </w:tcPr>
          <w:p w14:paraId="2098E2A7" w14:textId="77777777" w:rsidR="00784F81" w:rsidRDefault="00784F81" w:rsidP="00BE41FA">
            <w:pPr>
              <w:jc w:val="center"/>
            </w:pPr>
            <w:r>
              <w:t>3948</w:t>
            </w:r>
          </w:p>
        </w:tc>
        <w:tc>
          <w:tcPr>
            <w:tcW w:w="5953" w:type="dxa"/>
          </w:tcPr>
          <w:p w14:paraId="243BF603" w14:textId="77777777" w:rsidR="00784F81" w:rsidRPr="008313F4" w:rsidRDefault="00784F81" w:rsidP="00BE41FA">
            <w:pPr>
              <w:rPr>
                <w:b/>
                <w:bCs/>
              </w:rPr>
            </w:pPr>
            <w:r w:rsidRPr="008313F4">
              <w:rPr>
                <w:b/>
                <w:bCs/>
              </w:rPr>
              <w:t>“</w:t>
            </w:r>
            <w:r>
              <w:rPr>
                <w:b/>
                <w:bCs/>
              </w:rPr>
              <w:t>Application form, contract standard and template for the driver’s liability insurance</w:t>
            </w:r>
            <w:r w:rsidRPr="008313F4">
              <w:rPr>
                <w:b/>
                <w:bCs/>
              </w:rPr>
              <w:t xml:space="preserve">” </w:t>
            </w:r>
          </w:p>
          <w:p w14:paraId="2B59A6A9" w14:textId="77777777" w:rsidR="00784F81" w:rsidRPr="00757B2E" w:rsidRDefault="00784F81" w:rsidP="00BE41FA">
            <w:pPr>
              <w:rPr>
                <w:i/>
                <w:iCs/>
              </w:rPr>
            </w:pPr>
            <w:r w:rsidRPr="00757B2E">
              <w:rPr>
                <w:i/>
                <w:iCs/>
              </w:rPr>
              <w:t xml:space="preserve">Resolution No. 212 </w:t>
            </w:r>
            <w:r>
              <w:rPr>
                <w:i/>
                <w:iCs/>
              </w:rPr>
              <w:t>of</w:t>
            </w:r>
            <w:r w:rsidRPr="00757B2E">
              <w:rPr>
                <w:i/>
                <w:iCs/>
              </w:rPr>
              <w:t xml:space="preserve"> the Financial Regulatory Commission </w:t>
            </w:r>
            <w:r>
              <w:rPr>
                <w:i/>
                <w:iCs/>
              </w:rPr>
              <w:t xml:space="preserve">in 2018. </w:t>
            </w:r>
          </w:p>
        </w:tc>
        <w:tc>
          <w:tcPr>
            <w:tcW w:w="1187" w:type="dxa"/>
            <w:vAlign w:val="center"/>
          </w:tcPr>
          <w:p w14:paraId="295B6582" w14:textId="77777777" w:rsidR="00784F81" w:rsidRDefault="00784F81" w:rsidP="00BE41FA">
            <w:pPr>
              <w:jc w:val="center"/>
            </w:pPr>
            <w:r>
              <w:t>23</w:t>
            </w:r>
          </w:p>
        </w:tc>
      </w:tr>
      <w:tr w:rsidR="00784F81" w14:paraId="728D244F" w14:textId="77777777" w:rsidTr="00BE41FA">
        <w:trPr>
          <w:trHeight w:val="929"/>
        </w:trPr>
        <w:tc>
          <w:tcPr>
            <w:tcW w:w="562" w:type="dxa"/>
            <w:vAlign w:val="center"/>
          </w:tcPr>
          <w:p w14:paraId="0AA3A6B2" w14:textId="77777777" w:rsidR="00784F81" w:rsidRDefault="00784F81" w:rsidP="00BE41FA">
            <w:pPr>
              <w:jc w:val="center"/>
            </w:pPr>
            <w:r>
              <w:t>5</w:t>
            </w:r>
          </w:p>
        </w:tc>
        <w:tc>
          <w:tcPr>
            <w:tcW w:w="2127" w:type="dxa"/>
            <w:vAlign w:val="center"/>
          </w:tcPr>
          <w:p w14:paraId="433EA8F8" w14:textId="77777777" w:rsidR="00784F81" w:rsidRDefault="00784F81" w:rsidP="00BE41FA">
            <w:pPr>
              <w:jc w:val="center"/>
            </w:pPr>
            <w:r>
              <w:t>3949</w:t>
            </w:r>
          </w:p>
        </w:tc>
        <w:tc>
          <w:tcPr>
            <w:tcW w:w="5953" w:type="dxa"/>
          </w:tcPr>
          <w:p w14:paraId="55E515AC" w14:textId="77777777" w:rsidR="00784F81" w:rsidRDefault="00784F81" w:rsidP="00BE41FA">
            <w:r w:rsidRPr="008313F4">
              <w:rPr>
                <w:b/>
                <w:bCs/>
              </w:rPr>
              <w:t>“</w:t>
            </w:r>
            <w:r>
              <w:rPr>
                <w:b/>
                <w:bCs/>
              </w:rPr>
              <w:t>Regulation on funding the driver’s insurance fund, placing the account transferring and expending the fund’s assets</w:t>
            </w:r>
            <w:r w:rsidRPr="008313F4">
              <w:rPr>
                <w:b/>
                <w:bCs/>
              </w:rPr>
              <w:t>”</w:t>
            </w:r>
            <w:r>
              <w:t xml:space="preserve"> </w:t>
            </w:r>
            <w:r w:rsidRPr="00757B2E">
              <w:rPr>
                <w:i/>
                <w:iCs/>
              </w:rPr>
              <w:t>Resolution No. 213</w:t>
            </w:r>
            <w:r>
              <w:rPr>
                <w:i/>
                <w:iCs/>
              </w:rPr>
              <w:t xml:space="preserve"> </w:t>
            </w:r>
            <w:r w:rsidRPr="00757B2E">
              <w:rPr>
                <w:i/>
                <w:iCs/>
              </w:rPr>
              <w:t xml:space="preserve">of the Financial Regulatory Commission </w:t>
            </w:r>
            <w:r>
              <w:rPr>
                <w:i/>
                <w:iCs/>
              </w:rPr>
              <w:t xml:space="preserve">in 2018. </w:t>
            </w:r>
          </w:p>
        </w:tc>
        <w:tc>
          <w:tcPr>
            <w:tcW w:w="1187" w:type="dxa"/>
            <w:vAlign w:val="center"/>
          </w:tcPr>
          <w:p w14:paraId="507D50AF" w14:textId="77777777" w:rsidR="00784F81" w:rsidRDefault="00784F81" w:rsidP="00BE41FA">
            <w:pPr>
              <w:jc w:val="center"/>
            </w:pPr>
            <w:r>
              <w:t>32</w:t>
            </w:r>
          </w:p>
        </w:tc>
      </w:tr>
      <w:tr w:rsidR="00784F81" w14:paraId="7777596B" w14:textId="77777777" w:rsidTr="00BE41FA">
        <w:trPr>
          <w:trHeight w:val="880"/>
        </w:trPr>
        <w:tc>
          <w:tcPr>
            <w:tcW w:w="562" w:type="dxa"/>
            <w:vAlign w:val="center"/>
          </w:tcPr>
          <w:p w14:paraId="2BB6E9A1" w14:textId="77777777" w:rsidR="00784F81" w:rsidRDefault="00784F81" w:rsidP="00BE41FA">
            <w:pPr>
              <w:jc w:val="center"/>
            </w:pPr>
            <w:r>
              <w:t>6</w:t>
            </w:r>
          </w:p>
        </w:tc>
        <w:tc>
          <w:tcPr>
            <w:tcW w:w="2127" w:type="dxa"/>
            <w:vAlign w:val="center"/>
          </w:tcPr>
          <w:p w14:paraId="232D93F1" w14:textId="77777777" w:rsidR="00784F81" w:rsidRDefault="00784F81" w:rsidP="00BE41FA">
            <w:pPr>
              <w:jc w:val="center"/>
            </w:pPr>
            <w:r>
              <w:t>3992</w:t>
            </w:r>
          </w:p>
        </w:tc>
        <w:tc>
          <w:tcPr>
            <w:tcW w:w="5953" w:type="dxa"/>
          </w:tcPr>
          <w:p w14:paraId="26913ED9" w14:textId="77777777" w:rsidR="00784F81" w:rsidRDefault="00784F81" w:rsidP="00BE41FA">
            <w:r w:rsidRPr="008313F4">
              <w:rPr>
                <w:b/>
                <w:bCs/>
              </w:rPr>
              <w:t>“</w:t>
            </w:r>
            <w:r>
              <w:rPr>
                <w:b/>
                <w:bCs/>
              </w:rPr>
              <w:t>Regulation on distributing drivers to insurers who have not signed insurance contract on driver’s liability</w:t>
            </w:r>
            <w:r w:rsidRPr="008313F4">
              <w:rPr>
                <w:b/>
                <w:bCs/>
              </w:rPr>
              <w:t>”</w:t>
            </w:r>
            <w:r>
              <w:t xml:space="preserve"> </w:t>
            </w:r>
            <w:r w:rsidRPr="00757B2E">
              <w:rPr>
                <w:i/>
                <w:iCs/>
              </w:rPr>
              <w:t xml:space="preserve">Resolution No. 271 of the Financial Regulatory Commission </w:t>
            </w:r>
            <w:r>
              <w:rPr>
                <w:i/>
                <w:iCs/>
              </w:rPr>
              <w:t xml:space="preserve">in 2018. </w:t>
            </w:r>
          </w:p>
        </w:tc>
        <w:tc>
          <w:tcPr>
            <w:tcW w:w="1187" w:type="dxa"/>
            <w:vAlign w:val="center"/>
          </w:tcPr>
          <w:p w14:paraId="2D24CA73" w14:textId="77777777" w:rsidR="00784F81" w:rsidRDefault="00784F81" w:rsidP="00BE41FA">
            <w:pPr>
              <w:jc w:val="center"/>
            </w:pPr>
            <w:r>
              <w:t>37</w:t>
            </w:r>
          </w:p>
        </w:tc>
      </w:tr>
      <w:tr w:rsidR="00784F81" w14:paraId="39BA6FCC" w14:textId="77777777" w:rsidTr="00BE41FA">
        <w:trPr>
          <w:trHeight w:val="828"/>
        </w:trPr>
        <w:tc>
          <w:tcPr>
            <w:tcW w:w="562" w:type="dxa"/>
            <w:vAlign w:val="center"/>
          </w:tcPr>
          <w:p w14:paraId="38AE4E30" w14:textId="77777777" w:rsidR="00784F81" w:rsidRDefault="00784F81" w:rsidP="00BE41FA">
            <w:pPr>
              <w:jc w:val="center"/>
            </w:pPr>
            <w:r>
              <w:t>7</w:t>
            </w:r>
          </w:p>
        </w:tc>
        <w:tc>
          <w:tcPr>
            <w:tcW w:w="2127" w:type="dxa"/>
            <w:vAlign w:val="center"/>
          </w:tcPr>
          <w:p w14:paraId="11FA6C12" w14:textId="77777777" w:rsidR="00784F81" w:rsidRDefault="00784F81" w:rsidP="00BE41FA">
            <w:pPr>
              <w:jc w:val="center"/>
            </w:pPr>
            <w:r>
              <w:t>4220</w:t>
            </w:r>
          </w:p>
        </w:tc>
        <w:tc>
          <w:tcPr>
            <w:tcW w:w="5953" w:type="dxa"/>
          </w:tcPr>
          <w:p w14:paraId="4F109FD7" w14:textId="77777777" w:rsidR="00784F81" w:rsidRPr="008313F4" w:rsidRDefault="00784F81" w:rsidP="00BE41FA">
            <w:pPr>
              <w:rPr>
                <w:b/>
                <w:bCs/>
              </w:rPr>
            </w:pPr>
            <w:r w:rsidRPr="008313F4">
              <w:rPr>
                <w:b/>
                <w:bCs/>
              </w:rPr>
              <w:t xml:space="preserve">“Insurance Package </w:t>
            </w:r>
            <w:r>
              <w:rPr>
                <w:b/>
                <w:bCs/>
              </w:rPr>
              <w:t>Rules</w:t>
            </w:r>
            <w:r w:rsidRPr="008313F4">
              <w:rPr>
                <w:b/>
                <w:bCs/>
              </w:rPr>
              <w:t xml:space="preserve">” </w:t>
            </w:r>
          </w:p>
          <w:p w14:paraId="4BD0E8E0" w14:textId="77777777" w:rsidR="00784F81" w:rsidRPr="00757B2E" w:rsidRDefault="00784F81" w:rsidP="00BE41FA">
            <w:pPr>
              <w:rPr>
                <w:i/>
                <w:iCs/>
              </w:rPr>
            </w:pPr>
            <w:r w:rsidRPr="00757B2E">
              <w:rPr>
                <w:i/>
                <w:iCs/>
              </w:rPr>
              <w:t xml:space="preserve">Resolution No. 02 of the Financial Regulatory Commission </w:t>
            </w:r>
            <w:r>
              <w:rPr>
                <w:i/>
                <w:iCs/>
              </w:rPr>
              <w:t xml:space="preserve">in 2019. </w:t>
            </w:r>
          </w:p>
        </w:tc>
        <w:tc>
          <w:tcPr>
            <w:tcW w:w="1187" w:type="dxa"/>
            <w:vAlign w:val="center"/>
          </w:tcPr>
          <w:p w14:paraId="2882B730" w14:textId="77777777" w:rsidR="00784F81" w:rsidRDefault="00784F81" w:rsidP="00BE41FA">
            <w:pPr>
              <w:jc w:val="center"/>
            </w:pPr>
            <w:r>
              <w:t>42</w:t>
            </w:r>
          </w:p>
        </w:tc>
      </w:tr>
      <w:tr w:rsidR="00784F81" w14:paraId="3D1200CE" w14:textId="77777777" w:rsidTr="00BE41FA">
        <w:trPr>
          <w:trHeight w:val="828"/>
        </w:trPr>
        <w:tc>
          <w:tcPr>
            <w:tcW w:w="562" w:type="dxa"/>
            <w:vAlign w:val="center"/>
          </w:tcPr>
          <w:p w14:paraId="405FCA43" w14:textId="77777777" w:rsidR="00784F81" w:rsidRDefault="00784F81" w:rsidP="00BE41FA">
            <w:pPr>
              <w:jc w:val="center"/>
            </w:pPr>
            <w:r>
              <w:t>8</w:t>
            </w:r>
          </w:p>
        </w:tc>
        <w:tc>
          <w:tcPr>
            <w:tcW w:w="2127" w:type="dxa"/>
            <w:vAlign w:val="center"/>
          </w:tcPr>
          <w:p w14:paraId="35DF4E6C" w14:textId="77777777" w:rsidR="00784F81" w:rsidRDefault="00784F81" w:rsidP="00BE41FA">
            <w:pPr>
              <w:jc w:val="center"/>
            </w:pPr>
            <w:r>
              <w:t>4188</w:t>
            </w:r>
          </w:p>
        </w:tc>
        <w:tc>
          <w:tcPr>
            <w:tcW w:w="5953" w:type="dxa"/>
          </w:tcPr>
          <w:p w14:paraId="52D05628" w14:textId="77777777" w:rsidR="00784F81" w:rsidRDefault="00784F81" w:rsidP="00BE41FA">
            <w:r w:rsidRPr="008313F4">
              <w:rPr>
                <w:b/>
                <w:bCs/>
              </w:rPr>
              <w:t>“</w:t>
            </w:r>
            <w:r>
              <w:rPr>
                <w:b/>
                <w:bCs/>
              </w:rPr>
              <w:t>Procedures for</w:t>
            </w:r>
            <w:r w:rsidRPr="008313F4">
              <w:rPr>
                <w:b/>
                <w:bCs/>
              </w:rPr>
              <w:t xml:space="preserve"> submitting and using compensation </w:t>
            </w:r>
            <w:r>
              <w:rPr>
                <w:b/>
                <w:bCs/>
              </w:rPr>
              <w:t xml:space="preserve">information; </w:t>
            </w:r>
            <w:r w:rsidRPr="008313F4">
              <w:rPr>
                <w:b/>
                <w:bCs/>
              </w:rPr>
              <w:t>provided to victims by the driver’s insurance fund</w:t>
            </w:r>
            <w:r>
              <w:rPr>
                <w:b/>
                <w:bCs/>
              </w:rPr>
              <w:t>,</w:t>
            </w:r>
            <w:r w:rsidRPr="008313F4">
              <w:rPr>
                <w:b/>
                <w:bCs/>
              </w:rPr>
              <w:t xml:space="preserve"> and</w:t>
            </w:r>
            <w:r>
              <w:rPr>
                <w:b/>
                <w:bCs/>
              </w:rPr>
              <w:t xml:space="preserve"> by</w:t>
            </w:r>
            <w:r w:rsidRPr="008313F4">
              <w:rPr>
                <w:b/>
                <w:bCs/>
              </w:rPr>
              <w:t xml:space="preserve"> the insurer to the police”</w:t>
            </w:r>
            <w:r>
              <w:t xml:space="preserve"> </w:t>
            </w:r>
            <w:r w:rsidRPr="00757B2E">
              <w:rPr>
                <w:i/>
                <w:iCs/>
              </w:rPr>
              <w:t xml:space="preserve">Joint </w:t>
            </w:r>
            <w:r>
              <w:rPr>
                <w:i/>
                <w:iCs/>
              </w:rPr>
              <w:t>decree</w:t>
            </w:r>
            <w:r w:rsidRPr="00757B2E">
              <w:rPr>
                <w:i/>
                <w:iCs/>
              </w:rPr>
              <w:t xml:space="preserve"> No. 30/A/14 of the Chairman of the Financial Regulatory Commission and the Minister of Justice and Internal Affairs</w:t>
            </w:r>
            <w:r>
              <w:t xml:space="preserve"> </w:t>
            </w:r>
            <w:r w:rsidRPr="00CB1D5B">
              <w:rPr>
                <w:i/>
                <w:iCs/>
              </w:rPr>
              <w:t>in 2019</w:t>
            </w:r>
          </w:p>
        </w:tc>
        <w:tc>
          <w:tcPr>
            <w:tcW w:w="1187" w:type="dxa"/>
            <w:vAlign w:val="center"/>
          </w:tcPr>
          <w:p w14:paraId="1D861CF7" w14:textId="77777777" w:rsidR="00784F81" w:rsidRDefault="00784F81" w:rsidP="00BE41FA">
            <w:pPr>
              <w:jc w:val="center"/>
            </w:pPr>
            <w:r>
              <w:t>355</w:t>
            </w:r>
          </w:p>
        </w:tc>
      </w:tr>
      <w:tr w:rsidR="00784F81" w14:paraId="2295751E" w14:textId="77777777" w:rsidTr="00BE41FA">
        <w:trPr>
          <w:trHeight w:val="828"/>
        </w:trPr>
        <w:tc>
          <w:tcPr>
            <w:tcW w:w="562" w:type="dxa"/>
            <w:vAlign w:val="center"/>
          </w:tcPr>
          <w:p w14:paraId="76B5A6D7" w14:textId="77777777" w:rsidR="00784F81" w:rsidRDefault="00784F81" w:rsidP="00BE41FA">
            <w:pPr>
              <w:jc w:val="center"/>
            </w:pPr>
            <w:r>
              <w:t>9</w:t>
            </w:r>
          </w:p>
        </w:tc>
        <w:tc>
          <w:tcPr>
            <w:tcW w:w="2127" w:type="dxa"/>
            <w:vAlign w:val="center"/>
          </w:tcPr>
          <w:p w14:paraId="31CE754D" w14:textId="77777777" w:rsidR="00784F81" w:rsidRDefault="00784F81" w:rsidP="00BE41FA">
            <w:pPr>
              <w:jc w:val="center"/>
            </w:pPr>
            <w:r>
              <w:t>4189</w:t>
            </w:r>
          </w:p>
        </w:tc>
        <w:tc>
          <w:tcPr>
            <w:tcW w:w="5953" w:type="dxa"/>
          </w:tcPr>
          <w:p w14:paraId="5876D3BA" w14:textId="77777777" w:rsidR="00784F81" w:rsidRDefault="00784F81" w:rsidP="00BE41FA">
            <w:r w:rsidRPr="008313F4">
              <w:rPr>
                <w:b/>
                <w:bCs/>
              </w:rPr>
              <w:t>“Model driver’s insurance guarantee</w:t>
            </w:r>
            <w:r>
              <w:rPr>
                <w:b/>
                <w:bCs/>
              </w:rPr>
              <w:t xml:space="preserve">, </w:t>
            </w:r>
            <w:r w:rsidRPr="008313F4">
              <w:rPr>
                <w:b/>
                <w:bCs/>
              </w:rPr>
              <w:t>and procedure</w:t>
            </w:r>
            <w:r>
              <w:rPr>
                <w:b/>
                <w:bCs/>
              </w:rPr>
              <w:t>s</w:t>
            </w:r>
            <w:r w:rsidRPr="008313F4">
              <w:rPr>
                <w:b/>
                <w:bCs/>
              </w:rPr>
              <w:t xml:space="preserve"> for its application”</w:t>
            </w:r>
            <w:r>
              <w:t xml:space="preserve"> </w:t>
            </w:r>
            <w:r w:rsidRPr="00757B2E">
              <w:rPr>
                <w:i/>
                <w:iCs/>
              </w:rPr>
              <w:t xml:space="preserve">Joint </w:t>
            </w:r>
            <w:r>
              <w:rPr>
                <w:i/>
                <w:iCs/>
              </w:rPr>
              <w:t>decree</w:t>
            </w:r>
            <w:r w:rsidRPr="00757B2E">
              <w:rPr>
                <w:i/>
                <w:iCs/>
              </w:rPr>
              <w:t xml:space="preserve"> No. </w:t>
            </w:r>
            <w:r>
              <w:rPr>
                <w:i/>
                <w:iCs/>
              </w:rPr>
              <w:t>29</w:t>
            </w:r>
            <w:r w:rsidRPr="00757B2E">
              <w:rPr>
                <w:i/>
                <w:iCs/>
              </w:rPr>
              <w:t>/A/1</w:t>
            </w:r>
            <w:r>
              <w:rPr>
                <w:i/>
                <w:iCs/>
              </w:rPr>
              <w:t xml:space="preserve">3 </w:t>
            </w:r>
            <w:r w:rsidRPr="00757B2E">
              <w:rPr>
                <w:i/>
                <w:iCs/>
              </w:rPr>
              <w:t>of the Chairman of the Financial Regulatory Commission and the Minister of Justice and Internal Affairs</w:t>
            </w:r>
            <w:r>
              <w:rPr>
                <w:i/>
                <w:iCs/>
              </w:rPr>
              <w:t xml:space="preserve"> in 2019. </w:t>
            </w:r>
          </w:p>
        </w:tc>
        <w:tc>
          <w:tcPr>
            <w:tcW w:w="1187" w:type="dxa"/>
            <w:vAlign w:val="center"/>
          </w:tcPr>
          <w:p w14:paraId="61A56EB8" w14:textId="77777777" w:rsidR="00784F81" w:rsidRDefault="00784F81" w:rsidP="00BE41FA">
            <w:pPr>
              <w:jc w:val="center"/>
            </w:pPr>
            <w:r>
              <w:t>360</w:t>
            </w:r>
          </w:p>
        </w:tc>
      </w:tr>
      <w:tr w:rsidR="00784F81" w14:paraId="2A572014" w14:textId="77777777" w:rsidTr="00BE41FA">
        <w:trPr>
          <w:trHeight w:val="828"/>
        </w:trPr>
        <w:tc>
          <w:tcPr>
            <w:tcW w:w="562" w:type="dxa"/>
            <w:vAlign w:val="center"/>
          </w:tcPr>
          <w:p w14:paraId="5ABAC56E" w14:textId="77777777" w:rsidR="00784F81" w:rsidRDefault="00784F81" w:rsidP="00BE41FA">
            <w:pPr>
              <w:jc w:val="center"/>
            </w:pPr>
            <w:r>
              <w:t>10</w:t>
            </w:r>
          </w:p>
        </w:tc>
        <w:tc>
          <w:tcPr>
            <w:tcW w:w="2127" w:type="dxa"/>
            <w:vAlign w:val="center"/>
          </w:tcPr>
          <w:p w14:paraId="4A34FC61" w14:textId="77777777" w:rsidR="00784F81" w:rsidRDefault="00784F81" w:rsidP="00BE41FA">
            <w:pPr>
              <w:jc w:val="center"/>
            </w:pPr>
            <w:r>
              <w:t>4555</w:t>
            </w:r>
          </w:p>
        </w:tc>
        <w:tc>
          <w:tcPr>
            <w:tcW w:w="5953" w:type="dxa"/>
          </w:tcPr>
          <w:p w14:paraId="6DC2F2E5" w14:textId="77777777" w:rsidR="00784F81" w:rsidRDefault="00784F81" w:rsidP="00BE41FA">
            <w:r w:rsidRPr="008313F4">
              <w:rPr>
                <w:b/>
                <w:bCs/>
              </w:rPr>
              <w:t>“Regulation on setting the minimum capital of an insurance company”</w:t>
            </w:r>
            <w:r>
              <w:t xml:space="preserve"> </w:t>
            </w:r>
            <w:r w:rsidRPr="00CB1D5B">
              <w:rPr>
                <w:i/>
                <w:iCs/>
              </w:rPr>
              <w:t>Resolution No. 354 of the Financial Regulatory Commission in 2019.</w:t>
            </w:r>
          </w:p>
        </w:tc>
        <w:tc>
          <w:tcPr>
            <w:tcW w:w="1187" w:type="dxa"/>
            <w:vAlign w:val="center"/>
          </w:tcPr>
          <w:p w14:paraId="6AED3D57" w14:textId="77777777" w:rsidR="00784F81" w:rsidRDefault="00784F81" w:rsidP="00BE41FA">
            <w:pPr>
              <w:jc w:val="center"/>
            </w:pPr>
            <w:r>
              <w:t>363</w:t>
            </w:r>
          </w:p>
        </w:tc>
      </w:tr>
      <w:tr w:rsidR="00784F81" w14:paraId="03DB8367" w14:textId="77777777" w:rsidTr="00BE41FA">
        <w:trPr>
          <w:trHeight w:val="828"/>
        </w:trPr>
        <w:tc>
          <w:tcPr>
            <w:tcW w:w="562" w:type="dxa"/>
            <w:vAlign w:val="center"/>
          </w:tcPr>
          <w:p w14:paraId="6B766146" w14:textId="77777777" w:rsidR="00784F81" w:rsidRDefault="00784F81" w:rsidP="00BE41FA">
            <w:pPr>
              <w:jc w:val="center"/>
            </w:pPr>
            <w:r>
              <w:t>11</w:t>
            </w:r>
          </w:p>
        </w:tc>
        <w:tc>
          <w:tcPr>
            <w:tcW w:w="2127" w:type="dxa"/>
            <w:vAlign w:val="center"/>
          </w:tcPr>
          <w:p w14:paraId="377EBB9B" w14:textId="77777777" w:rsidR="00784F81" w:rsidRDefault="00784F81" w:rsidP="00BE41FA">
            <w:pPr>
              <w:jc w:val="center"/>
            </w:pPr>
            <w:r>
              <w:t>4673</w:t>
            </w:r>
          </w:p>
        </w:tc>
        <w:tc>
          <w:tcPr>
            <w:tcW w:w="5953" w:type="dxa"/>
          </w:tcPr>
          <w:p w14:paraId="13F008D8" w14:textId="77777777" w:rsidR="00784F81" w:rsidRDefault="00784F81" w:rsidP="00BE41FA">
            <w:r w:rsidRPr="008313F4">
              <w:rPr>
                <w:b/>
                <w:bCs/>
              </w:rPr>
              <w:t>“Index-based livestock insurance mutual risk fund assets, regulation on its financing and disbursement”</w:t>
            </w:r>
            <w:r>
              <w:t xml:space="preserve"> </w:t>
            </w:r>
            <w:r w:rsidRPr="00757B2E">
              <w:rPr>
                <w:i/>
                <w:iCs/>
              </w:rPr>
              <w:t xml:space="preserve">Joint </w:t>
            </w:r>
            <w:r>
              <w:rPr>
                <w:i/>
                <w:iCs/>
              </w:rPr>
              <w:t>decree</w:t>
            </w:r>
            <w:r w:rsidRPr="00757B2E">
              <w:rPr>
                <w:i/>
                <w:iCs/>
              </w:rPr>
              <w:t xml:space="preserve"> No. </w:t>
            </w:r>
            <w:r>
              <w:rPr>
                <w:i/>
                <w:iCs/>
              </w:rPr>
              <w:t>30</w:t>
            </w:r>
            <w:r w:rsidRPr="00757B2E">
              <w:rPr>
                <w:i/>
                <w:iCs/>
              </w:rPr>
              <w:t>/A/1</w:t>
            </w:r>
            <w:r>
              <w:rPr>
                <w:i/>
                <w:iCs/>
              </w:rPr>
              <w:t>4</w:t>
            </w:r>
            <w:r w:rsidRPr="00757B2E">
              <w:rPr>
                <w:i/>
                <w:iCs/>
              </w:rPr>
              <w:t xml:space="preserve"> of the Chairman of the Financial Regulatory Commission and the Minister of Justice and Internal Affairs</w:t>
            </w:r>
            <w:r>
              <w:rPr>
                <w:i/>
                <w:iCs/>
              </w:rPr>
              <w:t xml:space="preserve"> in 2019. </w:t>
            </w:r>
          </w:p>
        </w:tc>
        <w:tc>
          <w:tcPr>
            <w:tcW w:w="1187" w:type="dxa"/>
            <w:vAlign w:val="center"/>
          </w:tcPr>
          <w:p w14:paraId="7A9010A5" w14:textId="77777777" w:rsidR="00784F81" w:rsidRDefault="00784F81" w:rsidP="00BE41FA">
            <w:pPr>
              <w:jc w:val="center"/>
            </w:pPr>
            <w:r>
              <w:t>364</w:t>
            </w:r>
          </w:p>
        </w:tc>
      </w:tr>
      <w:tr w:rsidR="00784F81" w14:paraId="05E436EC" w14:textId="77777777" w:rsidTr="00BE41FA">
        <w:trPr>
          <w:trHeight w:val="828"/>
        </w:trPr>
        <w:tc>
          <w:tcPr>
            <w:tcW w:w="562" w:type="dxa"/>
            <w:vAlign w:val="center"/>
          </w:tcPr>
          <w:p w14:paraId="174CCAD5" w14:textId="77777777" w:rsidR="00784F81" w:rsidRDefault="00784F81" w:rsidP="00BE41FA">
            <w:pPr>
              <w:jc w:val="center"/>
            </w:pPr>
            <w:r>
              <w:t>12</w:t>
            </w:r>
          </w:p>
        </w:tc>
        <w:tc>
          <w:tcPr>
            <w:tcW w:w="2127" w:type="dxa"/>
            <w:vAlign w:val="center"/>
          </w:tcPr>
          <w:p w14:paraId="780DFAA2" w14:textId="77777777" w:rsidR="00784F81" w:rsidRDefault="00784F81" w:rsidP="00BE41FA">
            <w:pPr>
              <w:jc w:val="center"/>
            </w:pPr>
            <w:r>
              <w:t>4674</w:t>
            </w:r>
          </w:p>
        </w:tc>
        <w:tc>
          <w:tcPr>
            <w:tcW w:w="5953" w:type="dxa"/>
          </w:tcPr>
          <w:p w14:paraId="4B550DF7" w14:textId="77777777" w:rsidR="00784F81" w:rsidRDefault="00784F81" w:rsidP="00BE41FA">
            <w:r w:rsidRPr="008313F4">
              <w:rPr>
                <w:b/>
                <w:bCs/>
              </w:rPr>
              <w:t>“Regulation on calculating index-based livestock insurance premiums”</w:t>
            </w:r>
            <w:r>
              <w:t xml:space="preserve"> </w:t>
            </w:r>
            <w:r w:rsidRPr="00757B2E">
              <w:rPr>
                <w:i/>
                <w:iCs/>
              </w:rPr>
              <w:t xml:space="preserve">Joint </w:t>
            </w:r>
            <w:r>
              <w:rPr>
                <w:i/>
                <w:iCs/>
              </w:rPr>
              <w:t>decree</w:t>
            </w:r>
            <w:r w:rsidRPr="00757B2E">
              <w:rPr>
                <w:i/>
                <w:iCs/>
              </w:rPr>
              <w:t xml:space="preserve"> No. </w:t>
            </w:r>
            <w:r>
              <w:rPr>
                <w:i/>
                <w:iCs/>
              </w:rPr>
              <w:t>30</w:t>
            </w:r>
            <w:r w:rsidRPr="00757B2E">
              <w:rPr>
                <w:i/>
                <w:iCs/>
              </w:rPr>
              <w:t>/A/1</w:t>
            </w:r>
            <w:r>
              <w:rPr>
                <w:i/>
                <w:iCs/>
              </w:rPr>
              <w:t>4</w:t>
            </w:r>
            <w:r w:rsidRPr="00757B2E">
              <w:rPr>
                <w:i/>
                <w:iCs/>
              </w:rPr>
              <w:t xml:space="preserve"> of the Chairman of the Financial Regulatory Commission and the Minister of Justice and Internal Affairs</w:t>
            </w:r>
            <w:r>
              <w:rPr>
                <w:i/>
                <w:iCs/>
              </w:rPr>
              <w:t xml:space="preserve"> in 2019. </w:t>
            </w:r>
          </w:p>
        </w:tc>
        <w:tc>
          <w:tcPr>
            <w:tcW w:w="1187" w:type="dxa"/>
            <w:vAlign w:val="center"/>
          </w:tcPr>
          <w:p w14:paraId="190592FA" w14:textId="77777777" w:rsidR="00784F81" w:rsidRDefault="00784F81" w:rsidP="00BE41FA">
            <w:pPr>
              <w:jc w:val="center"/>
            </w:pPr>
            <w:r>
              <w:t>371</w:t>
            </w:r>
          </w:p>
        </w:tc>
      </w:tr>
      <w:tr w:rsidR="00784F81" w14:paraId="25AB5517" w14:textId="77777777" w:rsidTr="00BE41FA">
        <w:trPr>
          <w:trHeight w:val="828"/>
        </w:trPr>
        <w:tc>
          <w:tcPr>
            <w:tcW w:w="562" w:type="dxa"/>
            <w:vAlign w:val="center"/>
          </w:tcPr>
          <w:p w14:paraId="1F1BB4C2" w14:textId="77777777" w:rsidR="00784F81" w:rsidRDefault="00784F81" w:rsidP="00BE41FA">
            <w:pPr>
              <w:jc w:val="center"/>
            </w:pPr>
            <w:r>
              <w:t>13</w:t>
            </w:r>
          </w:p>
        </w:tc>
        <w:tc>
          <w:tcPr>
            <w:tcW w:w="2127" w:type="dxa"/>
            <w:vAlign w:val="center"/>
          </w:tcPr>
          <w:p w14:paraId="04F232B9" w14:textId="77777777" w:rsidR="00784F81" w:rsidRDefault="00784F81" w:rsidP="00BE41FA">
            <w:pPr>
              <w:jc w:val="center"/>
            </w:pPr>
            <w:r>
              <w:t>4737</w:t>
            </w:r>
          </w:p>
        </w:tc>
        <w:tc>
          <w:tcPr>
            <w:tcW w:w="5953" w:type="dxa"/>
          </w:tcPr>
          <w:p w14:paraId="5A90982E" w14:textId="77777777" w:rsidR="00784F81" w:rsidRDefault="00784F81" w:rsidP="00BE41FA">
            <w:r w:rsidRPr="008313F4">
              <w:rPr>
                <w:b/>
                <w:bCs/>
              </w:rPr>
              <w:t>“Code of conduct of the insurance market”</w:t>
            </w:r>
            <w:r>
              <w:t xml:space="preserve"> </w:t>
            </w:r>
            <w:r w:rsidRPr="00CB1D5B">
              <w:rPr>
                <w:i/>
                <w:iCs/>
              </w:rPr>
              <w:t>Resolution No. 114 of the Financial Regulatory Commission in 2020.</w:t>
            </w:r>
            <w:r>
              <w:t xml:space="preserve"> </w:t>
            </w:r>
          </w:p>
        </w:tc>
        <w:tc>
          <w:tcPr>
            <w:tcW w:w="1187" w:type="dxa"/>
            <w:vAlign w:val="center"/>
          </w:tcPr>
          <w:p w14:paraId="782B06A8" w14:textId="77777777" w:rsidR="00784F81" w:rsidRDefault="00784F81" w:rsidP="00BE41FA">
            <w:pPr>
              <w:jc w:val="center"/>
            </w:pPr>
            <w:r>
              <w:t>374</w:t>
            </w:r>
          </w:p>
        </w:tc>
      </w:tr>
    </w:tbl>
    <w:p w14:paraId="5A1461BF" w14:textId="77777777" w:rsidR="00784F81" w:rsidRPr="006753A9" w:rsidRDefault="00784F81" w:rsidP="00784F81">
      <w:pPr>
        <w:jc w:val="center"/>
        <w:rPr>
          <w:b/>
          <w:bCs/>
        </w:rPr>
      </w:pPr>
      <w:r w:rsidRPr="006753A9">
        <w:rPr>
          <w:b/>
          <w:bCs/>
        </w:rPr>
        <w:lastRenderedPageBreak/>
        <w:t xml:space="preserve">SECURITIES </w:t>
      </w:r>
      <w:r w:rsidRPr="00EE34C1">
        <w:rPr>
          <w:b/>
          <w:bCs/>
          <w:caps/>
        </w:rPr>
        <w:t>market</w:t>
      </w:r>
    </w:p>
    <w:tbl>
      <w:tblPr>
        <w:tblStyle w:val="TableGrid"/>
        <w:tblpPr w:leftFromText="180" w:rightFromText="180" w:horzAnchor="margin" w:tblpY="660"/>
        <w:tblW w:w="9774" w:type="dxa"/>
        <w:tblLook w:val="04A0" w:firstRow="1" w:lastRow="0" w:firstColumn="1" w:lastColumn="0" w:noHBand="0" w:noVBand="1"/>
      </w:tblPr>
      <w:tblGrid>
        <w:gridCol w:w="846"/>
        <w:gridCol w:w="1843"/>
        <w:gridCol w:w="5811"/>
        <w:gridCol w:w="1274"/>
      </w:tblGrid>
      <w:tr w:rsidR="00784F81" w14:paraId="3B3BF95E" w14:textId="77777777" w:rsidTr="00784F81">
        <w:trPr>
          <w:trHeight w:val="841"/>
        </w:trPr>
        <w:tc>
          <w:tcPr>
            <w:tcW w:w="846" w:type="dxa"/>
            <w:vAlign w:val="center"/>
          </w:tcPr>
          <w:p w14:paraId="5AF6CB34" w14:textId="77777777" w:rsidR="00784F81" w:rsidRDefault="00784F81" w:rsidP="00BE41FA">
            <w:pPr>
              <w:jc w:val="center"/>
            </w:pPr>
            <w:r w:rsidRPr="008923BE">
              <w:rPr>
                <w:rFonts w:ascii="Times New Roman" w:hAnsi="Times New Roman" w:cs="Times New Roman"/>
                <w:lang w:val="mn-MN"/>
              </w:rPr>
              <w:t>№</w:t>
            </w:r>
          </w:p>
        </w:tc>
        <w:tc>
          <w:tcPr>
            <w:tcW w:w="1843" w:type="dxa"/>
            <w:vAlign w:val="center"/>
          </w:tcPr>
          <w:p w14:paraId="48DE7C88" w14:textId="77777777" w:rsidR="00784F81" w:rsidRDefault="00784F81" w:rsidP="00BE41FA">
            <w:pPr>
              <w:jc w:val="center"/>
            </w:pPr>
            <w:r>
              <w:t>STATE REGISTRATION NUMBER</w:t>
            </w:r>
          </w:p>
        </w:tc>
        <w:tc>
          <w:tcPr>
            <w:tcW w:w="5811" w:type="dxa"/>
            <w:vAlign w:val="center"/>
          </w:tcPr>
          <w:p w14:paraId="1A5C43CD" w14:textId="77777777" w:rsidR="00784F81" w:rsidRDefault="00784F81" w:rsidP="00BE41FA">
            <w:pPr>
              <w:jc w:val="center"/>
            </w:pPr>
            <w:r>
              <w:t>TITLE</w:t>
            </w:r>
          </w:p>
        </w:tc>
        <w:tc>
          <w:tcPr>
            <w:tcW w:w="1274" w:type="dxa"/>
            <w:vAlign w:val="center"/>
          </w:tcPr>
          <w:p w14:paraId="60A1D382" w14:textId="77777777" w:rsidR="00784F81" w:rsidRDefault="00784F81" w:rsidP="00BE41FA">
            <w:pPr>
              <w:jc w:val="center"/>
            </w:pPr>
            <w:r>
              <w:t>PAGE NUMBER</w:t>
            </w:r>
          </w:p>
        </w:tc>
      </w:tr>
      <w:tr w:rsidR="00784F81" w14:paraId="63695037" w14:textId="77777777" w:rsidTr="00784F81">
        <w:trPr>
          <w:trHeight w:val="1160"/>
        </w:trPr>
        <w:tc>
          <w:tcPr>
            <w:tcW w:w="846" w:type="dxa"/>
            <w:vAlign w:val="center"/>
          </w:tcPr>
          <w:p w14:paraId="06DA6E82" w14:textId="77777777" w:rsidR="00784F81" w:rsidRDefault="00784F81" w:rsidP="00BE41FA">
            <w:pPr>
              <w:jc w:val="center"/>
            </w:pPr>
            <w:r>
              <w:t>1</w:t>
            </w:r>
          </w:p>
        </w:tc>
        <w:tc>
          <w:tcPr>
            <w:tcW w:w="1843" w:type="dxa"/>
            <w:vAlign w:val="center"/>
          </w:tcPr>
          <w:p w14:paraId="04CE1F29" w14:textId="77777777" w:rsidR="00784F81" w:rsidRDefault="00784F81" w:rsidP="00BE41FA">
            <w:pPr>
              <w:jc w:val="center"/>
            </w:pPr>
            <w:r>
              <w:t>3778</w:t>
            </w:r>
          </w:p>
        </w:tc>
        <w:tc>
          <w:tcPr>
            <w:tcW w:w="5811" w:type="dxa"/>
          </w:tcPr>
          <w:p w14:paraId="728E28A1" w14:textId="77777777" w:rsidR="00784F81" w:rsidRPr="008313F4" w:rsidRDefault="00784F81" w:rsidP="00BE41FA">
            <w:pPr>
              <w:rPr>
                <w:b/>
                <w:bCs/>
              </w:rPr>
            </w:pPr>
            <w:r w:rsidRPr="008313F4">
              <w:rPr>
                <w:b/>
                <w:bCs/>
              </w:rPr>
              <w:t>“Sample accounting instructions, reference list of accounts, financial statements and its disclosure form to be followed by brokers, dealers and underwriters in the securities market”</w:t>
            </w:r>
          </w:p>
          <w:p w14:paraId="52B9A64B" w14:textId="77777777" w:rsidR="00784F81" w:rsidRPr="00CB1D5B" w:rsidRDefault="00784F81" w:rsidP="00BE41FA">
            <w:pPr>
              <w:rPr>
                <w:i/>
                <w:iCs/>
              </w:rPr>
            </w:pPr>
            <w:r w:rsidRPr="00CB1D5B">
              <w:rPr>
                <w:i/>
                <w:iCs/>
              </w:rPr>
              <w:t xml:space="preserve">Joint </w:t>
            </w:r>
            <w:r>
              <w:rPr>
                <w:i/>
                <w:iCs/>
              </w:rPr>
              <w:t>Decree</w:t>
            </w:r>
            <w:r w:rsidRPr="00CB1D5B">
              <w:rPr>
                <w:i/>
                <w:iCs/>
              </w:rPr>
              <w:t xml:space="preserve"> No. 221/331 of the Minister of Finance and the Chairman of the Financial Regulatory Commission</w:t>
            </w:r>
            <w:r>
              <w:rPr>
                <w:i/>
                <w:iCs/>
              </w:rPr>
              <w:t xml:space="preserve"> in 2017</w:t>
            </w:r>
          </w:p>
        </w:tc>
        <w:tc>
          <w:tcPr>
            <w:tcW w:w="1274" w:type="dxa"/>
            <w:vAlign w:val="center"/>
          </w:tcPr>
          <w:p w14:paraId="372D6430" w14:textId="77777777" w:rsidR="00784F81" w:rsidRDefault="00784F81" w:rsidP="00BE41FA">
            <w:pPr>
              <w:jc w:val="center"/>
            </w:pPr>
            <w:r>
              <w:t>3</w:t>
            </w:r>
          </w:p>
        </w:tc>
      </w:tr>
      <w:tr w:rsidR="00784F81" w14:paraId="6F1F2721" w14:textId="77777777" w:rsidTr="00784F81">
        <w:trPr>
          <w:trHeight w:val="1160"/>
        </w:trPr>
        <w:tc>
          <w:tcPr>
            <w:tcW w:w="846" w:type="dxa"/>
            <w:vAlign w:val="center"/>
          </w:tcPr>
          <w:p w14:paraId="5A373275" w14:textId="77777777" w:rsidR="00784F81" w:rsidRDefault="00784F81" w:rsidP="00BE41FA">
            <w:pPr>
              <w:jc w:val="center"/>
            </w:pPr>
            <w:r>
              <w:t>2</w:t>
            </w:r>
          </w:p>
        </w:tc>
        <w:tc>
          <w:tcPr>
            <w:tcW w:w="1843" w:type="dxa"/>
            <w:vAlign w:val="center"/>
          </w:tcPr>
          <w:p w14:paraId="1297A29A" w14:textId="77777777" w:rsidR="00784F81" w:rsidRDefault="00784F81" w:rsidP="00BE41FA">
            <w:pPr>
              <w:jc w:val="center"/>
            </w:pPr>
            <w:r>
              <w:t>3836</w:t>
            </w:r>
          </w:p>
        </w:tc>
        <w:tc>
          <w:tcPr>
            <w:tcW w:w="5811" w:type="dxa"/>
          </w:tcPr>
          <w:p w14:paraId="5E45973B" w14:textId="77777777" w:rsidR="00784F81" w:rsidRPr="008313F4" w:rsidRDefault="00784F81" w:rsidP="00BE41FA">
            <w:pPr>
              <w:rPr>
                <w:b/>
                <w:bCs/>
              </w:rPr>
            </w:pPr>
            <w:r>
              <w:rPr>
                <w:b/>
                <w:bCs/>
              </w:rPr>
              <w:t>“Regulation</w:t>
            </w:r>
            <w:r w:rsidRPr="008313F4">
              <w:rPr>
                <w:b/>
                <w:bCs/>
              </w:rPr>
              <w:t xml:space="preserve"> on registration of legal entities listed on foreign exchanges on trade securities on the Mongolian Stock Exchange and legal entities listed on the Mongolian Stock exchange to trade securities on foreign stock exchanges</w:t>
            </w:r>
            <w:r>
              <w:rPr>
                <w:b/>
                <w:bCs/>
              </w:rPr>
              <w:t>”</w:t>
            </w:r>
            <w:r w:rsidRPr="008313F4">
              <w:rPr>
                <w:b/>
                <w:bCs/>
              </w:rPr>
              <w:t xml:space="preserve"> </w:t>
            </w:r>
          </w:p>
          <w:p w14:paraId="2EC78F7F" w14:textId="77777777" w:rsidR="00784F81" w:rsidRPr="00CB1D5B" w:rsidRDefault="00784F81" w:rsidP="00BE41FA">
            <w:pPr>
              <w:rPr>
                <w:i/>
                <w:iCs/>
              </w:rPr>
            </w:pPr>
            <w:r w:rsidRPr="00CB1D5B">
              <w:rPr>
                <w:i/>
                <w:iCs/>
              </w:rPr>
              <w:t>Resolution No. 19 of the Financial Regulatory Commission</w:t>
            </w:r>
            <w:r>
              <w:rPr>
                <w:i/>
                <w:iCs/>
              </w:rPr>
              <w:t xml:space="preserve"> in 2018</w:t>
            </w:r>
          </w:p>
        </w:tc>
        <w:tc>
          <w:tcPr>
            <w:tcW w:w="1274" w:type="dxa"/>
            <w:vAlign w:val="center"/>
          </w:tcPr>
          <w:p w14:paraId="38D8C58B" w14:textId="77777777" w:rsidR="00784F81" w:rsidRDefault="00784F81" w:rsidP="00BE41FA">
            <w:pPr>
              <w:jc w:val="center"/>
            </w:pPr>
            <w:r>
              <w:t>88</w:t>
            </w:r>
          </w:p>
        </w:tc>
      </w:tr>
      <w:tr w:rsidR="00784F81" w14:paraId="710630C6" w14:textId="77777777" w:rsidTr="00784F81">
        <w:trPr>
          <w:trHeight w:val="1160"/>
        </w:trPr>
        <w:tc>
          <w:tcPr>
            <w:tcW w:w="846" w:type="dxa"/>
            <w:vAlign w:val="center"/>
          </w:tcPr>
          <w:p w14:paraId="192D21B0" w14:textId="77777777" w:rsidR="00784F81" w:rsidRDefault="00784F81" w:rsidP="00BE41FA">
            <w:pPr>
              <w:jc w:val="center"/>
            </w:pPr>
            <w:r>
              <w:t>3</w:t>
            </w:r>
          </w:p>
        </w:tc>
        <w:tc>
          <w:tcPr>
            <w:tcW w:w="1843" w:type="dxa"/>
            <w:vAlign w:val="center"/>
          </w:tcPr>
          <w:p w14:paraId="73722AC9" w14:textId="77777777" w:rsidR="00784F81" w:rsidRDefault="00784F81" w:rsidP="00BE41FA">
            <w:pPr>
              <w:jc w:val="center"/>
            </w:pPr>
            <w:r>
              <w:t>4096</w:t>
            </w:r>
          </w:p>
        </w:tc>
        <w:tc>
          <w:tcPr>
            <w:tcW w:w="5811" w:type="dxa"/>
          </w:tcPr>
          <w:p w14:paraId="7DE056A7" w14:textId="77777777" w:rsidR="00784F81" w:rsidRPr="008313F4" w:rsidRDefault="00784F81" w:rsidP="00BE41FA">
            <w:pPr>
              <w:rPr>
                <w:b/>
                <w:bCs/>
              </w:rPr>
            </w:pPr>
            <w:r w:rsidRPr="008313F4">
              <w:rPr>
                <w:b/>
                <w:bCs/>
              </w:rPr>
              <w:t>“</w:t>
            </w:r>
            <w:r>
              <w:rPr>
                <w:b/>
                <w:bCs/>
              </w:rPr>
              <w:t>Regulation on</w:t>
            </w:r>
            <w:r w:rsidRPr="008313F4">
              <w:rPr>
                <w:b/>
                <w:bCs/>
              </w:rPr>
              <w:t xml:space="preserve"> announcing the shareholders meeting of a joint stock company.”</w:t>
            </w:r>
          </w:p>
          <w:p w14:paraId="22694BC4" w14:textId="77777777" w:rsidR="00784F81" w:rsidRPr="00CB1D5B" w:rsidRDefault="00784F81" w:rsidP="00BE41FA">
            <w:pPr>
              <w:rPr>
                <w:i/>
                <w:iCs/>
              </w:rPr>
            </w:pPr>
            <w:r w:rsidRPr="00CB1D5B">
              <w:rPr>
                <w:i/>
                <w:iCs/>
              </w:rPr>
              <w:t>Resolution No. 377</w:t>
            </w:r>
            <w:r>
              <w:rPr>
                <w:i/>
                <w:iCs/>
              </w:rPr>
              <w:t xml:space="preserve"> </w:t>
            </w:r>
            <w:r w:rsidRPr="00CB1D5B">
              <w:rPr>
                <w:i/>
                <w:iCs/>
              </w:rPr>
              <w:t>of the Financial Regulatory Commission</w:t>
            </w:r>
            <w:r>
              <w:rPr>
                <w:i/>
                <w:iCs/>
              </w:rPr>
              <w:t xml:space="preserve"> 2018</w:t>
            </w:r>
          </w:p>
        </w:tc>
        <w:tc>
          <w:tcPr>
            <w:tcW w:w="1274" w:type="dxa"/>
            <w:vAlign w:val="center"/>
          </w:tcPr>
          <w:p w14:paraId="3C8C64DC" w14:textId="77777777" w:rsidR="00784F81" w:rsidRDefault="00784F81" w:rsidP="00BE41FA">
            <w:pPr>
              <w:jc w:val="center"/>
            </w:pPr>
            <w:r>
              <w:t>108</w:t>
            </w:r>
          </w:p>
        </w:tc>
      </w:tr>
      <w:tr w:rsidR="00784F81" w14:paraId="69F561E6" w14:textId="77777777" w:rsidTr="00784F81">
        <w:trPr>
          <w:trHeight w:val="825"/>
        </w:trPr>
        <w:tc>
          <w:tcPr>
            <w:tcW w:w="846" w:type="dxa"/>
            <w:vAlign w:val="center"/>
          </w:tcPr>
          <w:p w14:paraId="158A0881" w14:textId="77777777" w:rsidR="00784F81" w:rsidRDefault="00784F81" w:rsidP="00BE41FA">
            <w:pPr>
              <w:jc w:val="center"/>
            </w:pPr>
            <w:r>
              <w:t>4</w:t>
            </w:r>
          </w:p>
        </w:tc>
        <w:tc>
          <w:tcPr>
            <w:tcW w:w="1843" w:type="dxa"/>
            <w:vAlign w:val="center"/>
          </w:tcPr>
          <w:p w14:paraId="6B74F7FB" w14:textId="77777777" w:rsidR="00784F81" w:rsidRDefault="00784F81" w:rsidP="00BE41FA">
            <w:pPr>
              <w:jc w:val="center"/>
            </w:pPr>
            <w:r>
              <w:t>4128</w:t>
            </w:r>
          </w:p>
        </w:tc>
        <w:tc>
          <w:tcPr>
            <w:tcW w:w="5811" w:type="dxa"/>
          </w:tcPr>
          <w:p w14:paraId="015A3E17" w14:textId="77777777" w:rsidR="00784F81" w:rsidRPr="008313F4" w:rsidRDefault="00784F81" w:rsidP="00BE41FA">
            <w:pPr>
              <w:rPr>
                <w:b/>
                <w:bCs/>
              </w:rPr>
            </w:pPr>
            <w:r w:rsidRPr="008313F4">
              <w:rPr>
                <w:b/>
                <w:bCs/>
              </w:rPr>
              <w:t>“</w:t>
            </w:r>
            <w:r>
              <w:rPr>
                <w:b/>
                <w:bCs/>
              </w:rPr>
              <w:t>Securities collateral regulations</w:t>
            </w:r>
            <w:r w:rsidRPr="008313F4">
              <w:rPr>
                <w:b/>
                <w:bCs/>
              </w:rPr>
              <w:t>”</w:t>
            </w:r>
          </w:p>
          <w:p w14:paraId="7E0CAD07" w14:textId="77777777" w:rsidR="00784F81" w:rsidRPr="00CB1D5B" w:rsidRDefault="00784F81" w:rsidP="00BE41FA">
            <w:pPr>
              <w:rPr>
                <w:i/>
                <w:iCs/>
              </w:rPr>
            </w:pPr>
            <w:r w:rsidRPr="00CB1D5B">
              <w:rPr>
                <w:i/>
                <w:iCs/>
              </w:rPr>
              <w:t xml:space="preserve">Resolution No. 382 of the Financial Regulatory Commission in 2018 </w:t>
            </w:r>
          </w:p>
        </w:tc>
        <w:tc>
          <w:tcPr>
            <w:tcW w:w="1274" w:type="dxa"/>
            <w:vAlign w:val="center"/>
          </w:tcPr>
          <w:p w14:paraId="4756D9FC" w14:textId="77777777" w:rsidR="00784F81" w:rsidRDefault="00784F81" w:rsidP="00BE41FA">
            <w:pPr>
              <w:jc w:val="center"/>
            </w:pPr>
            <w:r>
              <w:t>115</w:t>
            </w:r>
          </w:p>
        </w:tc>
      </w:tr>
      <w:tr w:rsidR="00784F81" w14:paraId="60000F3D" w14:textId="77777777" w:rsidTr="00784F81">
        <w:trPr>
          <w:trHeight w:val="643"/>
        </w:trPr>
        <w:tc>
          <w:tcPr>
            <w:tcW w:w="846" w:type="dxa"/>
            <w:vAlign w:val="center"/>
          </w:tcPr>
          <w:p w14:paraId="05B9AE18" w14:textId="77777777" w:rsidR="00784F81" w:rsidRDefault="00784F81" w:rsidP="00BE41FA">
            <w:pPr>
              <w:jc w:val="center"/>
            </w:pPr>
            <w:r>
              <w:t>5</w:t>
            </w:r>
          </w:p>
        </w:tc>
        <w:tc>
          <w:tcPr>
            <w:tcW w:w="1843" w:type="dxa"/>
            <w:vAlign w:val="center"/>
          </w:tcPr>
          <w:p w14:paraId="3F5873A9" w14:textId="77777777" w:rsidR="00784F81" w:rsidRDefault="00784F81" w:rsidP="00BE41FA">
            <w:pPr>
              <w:jc w:val="center"/>
            </w:pPr>
            <w:r>
              <w:t>4184</w:t>
            </w:r>
          </w:p>
        </w:tc>
        <w:tc>
          <w:tcPr>
            <w:tcW w:w="5811" w:type="dxa"/>
          </w:tcPr>
          <w:p w14:paraId="3F59E2ED" w14:textId="77777777" w:rsidR="00784F81" w:rsidRDefault="00784F81" w:rsidP="00BE41FA">
            <w:r>
              <w:rPr>
                <w:b/>
                <w:bCs/>
              </w:rPr>
              <w:t>“Set of rules governing the securities market”</w:t>
            </w:r>
            <w:r>
              <w:t xml:space="preserve"> </w:t>
            </w:r>
            <w:r w:rsidRPr="00CB1D5B">
              <w:rPr>
                <w:i/>
                <w:iCs/>
              </w:rPr>
              <w:t>Resolution No. 04 on the Financial Regulatory Commission in 2019.</w:t>
            </w:r>
            <w:r>
              <w:t xml:space="preserve"> </w:t>
            </w:r>
          </w:p>
        </w:tc>
        <w:tc>
          <w:tcPr>
            <w:tcW w:w="1274" w:type="dxa"/>
            <w:vAlign w:val="center"/>
          </w:tcPr>
          <w:p w14:paraId="76637157" w14:textId="77777777" w:rsidR="00784F81" w:rsidRDefault="00784F81" w:rsidP="00BE41FA">
            <w:pPr>
              <w:jc w:val="center"/>
            </w:pPr>
            <w:r>
              <w:t>181</w:t>
            </w:r>
          </w:p>
        </w:tc>
      </w:tr>
      <w:tr w:rsidR="00784F81" w14:paraId="3759339C" w14:textId="77777777" w:rsidTr="00784F81">
        <w:trPr>
          <w:trHeight w:val="916"/>
        </w:trPr>
        <w:tc>
          <w:tcPr>
            <w:tcW w:w="846" w:type="dxa"/>
            <w:vAlign w:val="center"/>
          </w:tcPr>
          <w:p w14:paraId="7D558214" w14:textId="77777777" w:rsidR="00784F81" w:rsidRDefault="00784F81" w:rsidP="00BE41FA">
            <w:pPr>
              <w:jc w:val="center"/>
            </w:pPr>
            <w:r>
              <w:t>6</w:t>
            </w:r>
          </w:p>
        </w:tc>
        <w:tc>
          <w:tcPr>
            <w:tcW w:w="1843" w:type="dxa"/>
            <w:vAlign w:val="center"/>
          </w:tcPr>
          <w:p w14:paraId="546C412F" w14:textId="77777777" w:rsidR="00784F81" w:rsidRDefault="00784F81" w:rsidP="00BE41FA">
            <w:pPr>
              <w:jc w:val="center"/>
            </w:pPr>
            <w:r>
              <w:t>4285</w:t>
            </w:r>
          </w:p>
        </w:tc>
        <w:tc>
          <w:tcPr>
            <w:tcW w:w="5811" w:type="dxa"/>
          </w:tcPr>
          <w:p w14:paraId="580D9518" w14:textId="77777777" w:rsidR="00784F81" w:rsidRDefault="00784F81" w:rsidP="00BE41FA">
            <w:r w:rsidRPr="008313F4">
              <w:rPr>
                <w:b/>
                <w:bCs/>
              </w:rPr>
              <w:t xml:space="preserve">“Procedure for </w:t>
            </w:r>
            <w:r>
              <w:rPr>
                <w:b/>
                <w:bCs/>
              </w:rPr>
              <w:t xml:space="preserve">purchasing </w:t>
            </w:r>
            <w:proofErr w:type="gramStart"/>
            <w:r>
              <w:rPr>
                <w:b/>
                <w:bCs/>
              </w:rPr>
              <w:t>shares,</w:t>
            </w:r>
            <w:r w:rsidRPr="008313F4">
              <w:rPr>
                <w:b/>
                <w:bCs/>
              </w:rPr>
              <w:t xml:space="preserve"> and</w:t>
            </w:r>
            <w:proofErr w:type="gramEnd"/>
            <w:r w:rsidRPr="008313F4">
              <w:rPr>
                <w:b/>
                <w:bCs/>
              </w:rPr>
              <w:t xml:space="preserve"> purchasing shares of a joint stock company”</w:t>
            </w:r>
            <w:r>
              <w:t xml:space="preserve"> </w:t>
            </w:r>
            <w:r w:rsidRPr="00CB1D5B">
              <w:rPr>
                <w:i/>
                <w:iCs/>
              </w:rPr>
              <w:t>Resolution No. 38 of the Financial Regulatory Commission in 2019.</w:t>
            </w:r>
            <w:r>
              <w:t xml:space="preserve"> </w:t>
            </w:r>
          </w:p>
        </w:tc>
        <w:tc>
          <w:tcPr>
            <w:tcW w:w="1274" w:type="dxa"/>
            <w:vAlign w:val="center"/>
          </w:tcPr>
          <w:p w14:paraId="1C1D9E93" w14:textId="77777777" w:rsidR="00784F81" w:rsidRDefault="00784F81" w:rsidP="00BE41FA">
            <w:pPr>
              <w:jc w:val="center"/>
            </w:pPr>
            <w:r>
              <w:t>187</w:t>
            </w:r>
          </w:p>
        </w:tc>
      </w:tr>
      <w:tr w:rsidR="00784F81" w14:paraId="2B1661CF" w14:textId="77777777" w:rsidTr="00784F81">
        <w:trPr>
          <w:trHeight w:val="877"/>
        </w:trPr>
        <w:tc>
          <w:tcPr>
            <w:tcW w:w="846" w:type="dxa"/>
            <w:vAlign w:val="center"/>
          </w:tcPr>
          <w:p w14:paraId="741DC913" w14:textId="77777777" w:rsidR="00784F81" w:rsidRDefault="00784F81" w:rsidP="00BE41FA">
            <w:pPr>
              <w:jc w:val="center"/>
            </w:pPr>
            <w:r>
              <w:t>7</w:t>
            </w:r>
          </w:p>
        </w:tc>
        <w:tc>
          <w:tcPr>
            <w:tcW w:w="1843" w:type="dxa"/>
            <w:vAlign w:val="center"/>
          </w:tcPr>
          <w:p w14:paraId="35B7E333" w14:textId="77777777" w:rsidR="00784F81" w:rsidRDefault="00784F81" w:rsidP="00BE41FA">
            <w:pPr>
              <w:jc w:val="center"/>
            </w:pPr>
            <w:r>
              <w:t>4350</w:t>
            </w:r>
          </w:p>
        </w:tc>
        <w:tc>
          <w:tcPr>
            <w:tcW w:w="5811" w:type="dxa"/>
          </w:tcPr>
          <w:p w14:paraId="6A93FAC2" w14:textId="77777777" w:rsidR="00784F81" w:rsidRDefault="00784F81" w:rsidP="00BE41FA">
            <w:r w:rsidRPr="008313F4">
              <w:rPr>
                <w:b/>
                <w:bCs/>
              </w:rPr>
              <w:t>“</w:t>
            </w:r>
            <w:r>
              <w:rPr>
                <w:b/>
                <w:bCs/>
              </w:rPr>
              <w:t>Emergency procedures for securities brokers, dealers and underwriters</w:t>
            </w:r>
            <w:r w:rsidRPr="008313F4">
              <w:rPr>
                <w:b/>
                <w:bCs/>
              </w:rPr>
              <w:t>”</w:t>
            </w:r>
            <w:r>
              <w:t xml:space="preserve"> </w:t>
            </w:r>
            <w:r w:rsidRPr="00CB1D5B">
              <w:rPr>
                <w:i/>
                <w:iCs/>
              </w:rPr>
              <w:t>Resolution No. 51 of the Financial Regulatory Commission in 2019.</w:t>
            </w:r>
          </w:p>
        </w:tc>
        <w:tc>
          <w:tcPr>
            <w:tcW w:w="1274" w:type="dxa"/>
            <w:vAlign w:val="center"/>
          </w:tcPr>
          <w:p w14:paraId="4A07DF82" w14:textId="77777777" w:rsidR="00784F81" w:rsidRDefault="00784F81" w:rsidP="00BE41FA">
            <w:pPr>
              <w:jc w:val="center"/>
            </w:pPr>
            <w:r>
              <w:t>209</w:t>
            </w:r>
          </w:p>
        </w:tc>
      </w:tr>
      <w:tr w:rsidR="00784F81" w14:paraId="1A33F295" w14:textId="77777777" w:rsidTr="00784F81">
        <w:trPr>
          <w:trHeight w:val="851"/>
        </w:trPr>
        <w:tc>
          <w:tcPr>
            <w:tcW w:w="846" w:type="dxa"/>
            <w:vAlign w:val="center"/>
          </w:tcPr>
          <w:p w14:paraId="14B3050A" w14:textId="77777777" w:rsidR="00784F81" w:rsidRDefault="00784F81" w:rsidP="00BE41FA">
            <w:pPr>
              <w:jc w:val="center"/>
            </w:pPr>
            <w:r>
              <w:t>8</w:t>
            </w:r>
          </w:p>
        </w:tc>
        <w:tc>
          <w:tcPr>
            <w:tcW w:w="1843" w:type="dxa"/>
            <w:vAlign w:val="center"/>
          </w:tcPr>
          <w:p w14:paraId="32D50502" w14:textId="77777777" w:rsidR="00784F81" w:rsidRDefault="00784F81" w:rsidP="00BE41FA">
            <w:pPr>
              <w:jc w:val="center"/>
            </w:pPr>
            <w:r>
              <w:t>4364</w:t>
            </w:r>
          </w:p>
        </w:tc>
        <w:tc>
          <w:tcPr>
            <w:tcW w:w="5811" w:type="dxa"/>
          </w:tcPr>
          <w:p w14:paraId="312DF64B" w14:textId="77777777" w:rsidR="00784F81" w:rsidRDefault="00784F81" w:rsidP="00BE41FA">
            <w:r w:rsidRPr="008313F4">
              <w:rPr>
                <w:b/>
                <w:bCs/>
              </w:rPr>
              <w:t>“List of internal information in the securities market</w:t>
            </w:r>
            <w:r>
              <w:rPr>
                <w:b/>
                <w:bCs/>
              </w:rPr>
              <w:t>,</w:t>
            </w:r>
            <w:r w:rsidRPr="008313F4">
              <w:rPr>
                <w:b/>
                <w:bCs/>
              </w:rPr>
              <w:t xml:space="preserve"> and procedures fo</w:t>
            </w:r>
            <w:r>
              <w:rPr>
                <w:b/>
                <w:bCs/>
              </w:rPr>
              <w:t>r</w:t>
            </w:r>
            <w:r w:rsidRPr="008313F4">
              <w:rPr>
                <w:b/>
                <w:bCs/>
              </w:rPr>
              <w:t xml:space="preserve"> disclosure”</w:t>
            </w:r>
            <w:r>
              <w:t xml:space="preserve"> </w:t>
            </w:r>
            <w:r w:rsidRPr="00CB1D5B">
              <w:rPr>
                <w:i/>
                <w:iCs/>
              </w:rPr>
              <w:t>Resolution No. 72 of the Financial Regulatory Commission in 2019.</w:t>
            </w:r>
          </w:p>
        </w:tc>
        <w:tc>
          <w:tcPr>
            <w:tcW w:w="1274" w:type="dxa"/>
            <w:vAlign w:val="center"/>
          </w:tcPr>
          <w:p w14:paraId="4B4E698C" w14:textId="77777777" w:rsidR="00784F81" w:rsidRDefault="00784F81" w:rsidP="00BE41FA">
            <w:pPr>
              <w:jc w:val="center"/>
            </w:pPr>
            <w:r>
              <w:t>214</w:t>
            </w:r>
          </w:p>
        </w:tc>
      </w:tr>
      <w:tr w:rsidR="00784F81" w14:paraId="1790BF9C" w14:textId="77777777" w:rsidTr="00784F81">
        <w:trPr>
          <w:trHeight w:val="953"/>
        </w:trPr>
        <w:tc>
          <w:tcPr>
            <w:tcW w:w="846" w:type="dxa"/>
            <w:vAlign w:val="center"/>
          </w:tcPr>
          <w:p w14:paraId="55EE05FC" w14:textId="77777777" w:rsidR="00784F81" w:rsidRDefault="00784F81" w:rsidP="00BE41FA">
            <w:pPr>
              <w:jc w:val="center"/>
            </w:pPr>
            <w:r>
              <w:t>9</w:t>
            </w:r>
          </w:p>
        </w:tc>
        <w:tc>
          <w:tcPr>
            <w:tcW w:w="1843" w:type="dxa"/>
            <w:vAlign w:val="center"/>
          </w:tcPr>
          <w:p w14:paraId="276875CE" w14:textId="77777777" w:rsidR="00784F81" w:rsidRDefault="00784F81" w:rsidP="00BE41FA">
            <w:pPr>
              <w:jc w:val="center"/>
            </w:pPr>
            <w:r>
              <w:t>4854</w:t>
            </w:r>
          </w:p>
        </w:tc>
        <w:tc>
          <w:tcPr>
            <w:tcW w:w="5811" w:type="dxa"/>
          </w:tcPr>
          <w:p w14:paraId="6D7C30D5" w14:textId="77777777" w:rsidR="00784F81" w:rsidRDefault="00784F81" w:rsidP="00BE41FA">
            <w:r>
              <w:rPr>
                <w:b/>
                <w:bCs/>
              </w:rPr>
              <w:t>Regulation on</w:t>
            </w:r>
            <w:r w:rsidRPr="008313F4">
              <w:rPr>
                <w:b/>
                <w:bCs/>
              </w:rPr>
              <w:t xml:space="preserve"> registration and public offering of Mongolian depository receipts.</w:t>
            </w:r>
            <w:r>
              <w:t xml:space="preserve"> </w:t>
            </w:r>
            <w:r w:rsidRPr="00CB1D5B">
              <w:rPr>
                <w:i/>
                <w:iCs/>
              </w:rPr>
              <w:t>Resolution No. 757 of the Financial Regulatory Commission in 2020.</w:t>
            </w:r>
            <w:r>
              <w:t xml:space="preserve"> </w:t>
            </w:r>
          </w:p>
        </w:tc>
        <w:tc>
          <w:tcPr>
            <w:tcW w:w="1274" w:type="dxa"/>
            <w:vAlign w:val="center"/>
          </w:tcPr>
          <w:p w14:paraId="506A42C7" w14:textId="77777777" w:rsidR="00784F81" w:rsidRDefault="00784F81" w:rsidP="00BE41FA">
            <w:pPr>
              <w:jc w:val="center"/>
            </w:pPr>
            <w:r>
              <w:t>223</w:t>
            </w:r>
          </w:p>
        </w:tc>
      </w:tr>
      <w:tr w:rsidR="00784F81" w14:paraId="1D3396AC" w14:textId="77777777" w:rsidTr="00784F81">
        <w:trPr>
          <w:trHeight w:val="771"/>
        </w:trPr>
        <w:tc>
          <w:tcPr>
            <w:tcW w:w="846" w:type="dxa"/>
            <w:vAlign w:val="center"/>
          </w:tcPr>
          <w:p w14:paraId="27138C0E" w14:textId="77777777" w:rsidR="00784F81" w:rsidRDefault="00784F81" w:rsidP="00BE41FA">
            <w:pPr>
              <w:jc w:val="center"/>
            </w:pPr>
            <w:r>
              <w:t>10</w:t>
            </w:r>
          </w:p>
        </w:tc>
        <w:tc>
          <w:tcPr>
            <w:tcW w:w="1843" w:type="dxa"/>
            <w:vAlign w:val="center"/>
          </w:tcPr>
          <w:p w14:paraId="33F0BA65" w14:textId="77777777" w:rsidR="00784F81" w:rsidRDefault="00784F81" w:rsidP="00BE41FA">
            <w:pPr>
              <w:jc w:val="center"/>
            </w:pPr>
            <w:r>
              <w:t>4867</w:t>
            </w:r>
          </w:p>
        </w:tc>
        <w:tc>
          <w:tcPr>
            <w:tcW w:w="5811" w:type="dxa"/>
          </w:tcPr>
          <w:p w14:paraId="352B8F35" w14:textId="77777777" w:rsidR="00784F81" w:rsidRDefault="00784F81" w:rsidP="00BE41FA">
            <w:r>
              <w:rPr>
                <w:b/>
                <w:bCs/>
              </w:rPr>
              <w:t>“Regulation on</w:t>
            </w:r>
            <w:r w:rsidRPr="008313F4">
              <w:rPr>
                <w:b/>
                <w:bCs/>
              </w:rPr>
              <w:t xml:space="preserve"> using the cumulative method of voting</w:t>
            </w:r>
            <w:r>
              <w:rPr>
                <w:b/>
                <w:bCs/>
              </w:rPr>
              <w:t>”</w:t>
            </w:r>
            <w:r>
              <w:t xml:space="preserve"> </w:t>
            </w:r>
            <w:r w:rsidRPr="00CB1D5B">
              <w:rPr>
                <w:i/>
                <w:iCs/>
              </w:rPr>
              <w:t>Resolution No. 880 of the Financial Regulatory Commission in 2020</w:t>
            </w:r>
            <w:r>
              <w:t xml:space="preserve">. </w:t>
            </w:r>
          </w:p>
        </w:tc>
        <w:tc>
          <w:tcPr>
            <w:tcW w:w="1274" w:type="dxa"/>
            <w:vAlign w:val="center"/>
          </w:tcPr>
          <w:p w14:paraId="6321A7EA" w14:textId="77777777" w:rsidR="00784F81" w:rsidRDefault="00784F81" w:rsidP="00BE41FA">
            <w:pPr>
              <w:jc w:val="center"/>
            </w:pPr>
            <w:r>
              <w:t>226</w:t>
            </w:r>
          </w:p>
        </w:tc>
      </w:tr>
      <w:tr w:rsidR="00784F81" w14:paraId="570BEADE" w14:textId="77777777" w:rsidTr="00784F81">
        <w:trPr>
          <w:trHeight w:val="645"/>
        </w:trPr>
        <w:tc>
          <w:tcPr>
            <w:tcW w:w="846" w:type="dxa"/>
            <w:vAlign w:val="center"/>
          </w:tcPr>
          <w:p w14:paraId="5F281614" w14:textId="77777777" w:rsidR="00784F81" w:rsidRDefault="00784F81" w:rsidP="00BE41FA">
            <w:pPr>
              <w:jc w:val="center"/>
            </w:pPr>
            <w:r>
              <w:t>11</w:t>
            </w:r>
          </w:p>
        </w:tc>
        <w:tc>
          <w:tcPr>
            <w:tcW w:w="1843" w:type="dxa"/>
          </w:tcPr>
          <w:p w14:paraId="1FE3F60D" w14:textId="77777777" w:rsidR="00784F81" w:rsidRDefault="00784F81" w:rsidP="00BE41FA"/>
        </w:tc>
        <w:tc>
          <w:tcPr>
            <w:tcW w:w="5811" w:type="dxa"/>
          </w:tcPr>
          <w:p w14:paraId="07632313" w14:textId="77777777" w:rsidR="00784F81" w:rsidRDefault="00784F81" w:rsidP="00BE41FA">
            <w:r>
              <w:rPr>
                <w:b/>
                <w:bCs/>
              </w:rPr>
              <w:t>“Regulation on o</w:t>
            </w:r>
            <w:r w:rsidRPr="008313F4">
              <w:rPr>
                <w:b/>
                <w:bCs/>
              </w:rPr>
              <w:t>perating in the OTC market</w:t>
            </w:r>
            <w:r>
              <w:rPr>
                <w:b/>
                <w:bCs/>
              </w:rPr>
              <w:t>”</w:t>
            </w:r>
            <w:r>
              <w:t xml:space="preserve"> </w:t>
            </w:r>
            <w:r w:rsidRPr="00CB1D5B">
              <w:rPr>
                <w:i/>
                <w:iCs/>
              </w:rPr>
              <w:t>Resolution No. 995 of the Financial Regulatory Commission in 2020.</w:t>
            </w:r>
            <w:r>
              <w:t xml:space="preserve"> </w:t>
            </w:r>
          </w:p>
        </w:tc>
        <w:tc>
          <w:tcPr>
            <w:tcW w:w="1274" w:type="dxa"/>
            <w:vAlign w:val="center"/>
          </w:tcPr>
          <w:p w14:paraId="014534EC" w14:textId="77777777" w:rsidR="00784F81" w:rsidRDefault="00784F81" w:rsidP="00BE41FA">
            <w:pPr>
              <w:jc w:val="center"/>
            </w:pPr>
            <w:r>
              <w:t>229</w:t>
            </w:r>
          </w:p>
        </w:tc>
      </w:tr>
    </w:tbl>
    <w:p w14:paraId="7F3E3C22" w14:textId="77777777" w:rsidR="00784F81" w:rsidRDefault="00784F81" w:rsidP="00784F81"/>
    <w:p w14:paraId="1195E8D4" w14:textId="77777777" w:rsidR="00784F81" w:rsidRDefault="00784F81" w:rsidP="00784F81"/>
    <w:p w14:paraId="3F11C5E3" w14:textId="77777777" w:rsidR="00784F81" w:rsidRDefault="00784F81" w:rsidP="00784F81"/>
    <w:p w14:paraId="27E16A23" w14:textId="77777777" w:rsidR="00784F81" w:rsidRDefault="00784F81" w:rsidP="00784F81"/>
    <w:p w14:paraId="0DB17DEF" w14:textId="77777777" w:rsidR="00784F81" w:rsidRDefault="00784F81" w:rsidP="00784F81"/>
    <w:p w14:paraId="7C659937" w14:textId="3B31C68C" w:rsidR="00784F81" w:rsidRDefault="00784F81" w:rsidP="00784F81">
      <w:pPr>
        <w:jc w:val="center"/>
        <w:rPr>
          <w:rFonts w:ascii="Arial" w:hAnsi="Arial" w:cs="Arial"/>
        </w:rPr>
      </w:pPr>
      <w:r w:rsidRPr="00784F81">
        <w:rPr>
          <w:rFonts w:ascii="Arial" w:hAnsi="Arial" w:cs="Arial"/>
          <w:b/>
          <w:bCs/>
        </w:rPr>
        <w:lastRenderedPageBreak/>
        <w:t>COMPILATION OF REGULATIONS REGARDING TO REAL ESTATE BROKERAGE, PRECIOUS METALS AND STONES, ANTI-MONEY LAUNDERING</w:t>
      </w:r>
    </w:p>
    <w:tbl>
      <w:tblPr>
        <w:tblStyle w:val="TableGrid"/>
        <w:tblpPr w:leftFromText="180" w:rightFromText="180" w:vertAnchor="page" w:horzAnchor="margin" w:tblpY="1592"/>
        <w:tblW w:w="9516" w:type="dxa"/>
        <w:tblLook w:val="04A0" w:firstRow="1" w:lastRow="0" w:firstColumn="1" w:lastColumn="0" w:noHBand="0" w:noVBand="1"/>
      </w:tblPr>
      <w:tblGrid>
        <w:gridCol w:w="928"/>
        <w:gridCol w:w="1923"/>
        <w:gridCol w:w="5366"/>
        <w:gridCol w:w="1299"/>
      </w:tblGrid>
      <w:tr w:rsidR="00784F81" w14:paraId="065C7BF4" w14:textId="77777777" w:rsidTr="00784F81">
        <w:trPr>
          <w:trHeight w:val="1048"/>
        </w:trPr>
        <w:tc>
          <w:tcPr>
            <w:tcW w:w="928" w:type="dxa"/>
            <w:vAlign w:val="center"/>
          </w:tcPr>
          <w:p w14:paraId="7D5B7CA2" w14:textId="77777777" w:rsidR="00784F81" w:rsidRPr="00496FD6" w:rsidRDefault="00784F81" w:rsidP="00784F81">
            <w:pPr>
              <w:rPr>
                <w:rFonts w:cstheme="minorHAnsi"/>
              </w:rPr>
            </w:pPr>
            <w:r w:rsidRPr="00496FD6">
              <w:rPr>
                <w:rFonts w:cstheme="minorHAnsi"/>
                <w:b/>
              </w:rPr>
              <w:t xml:space="preserve">    </w:t>
            </w:r>
            <w:r w:rsidRPr="00496FD6">
              <w:rPr>
                <w:rFonts w:cstheme="minorHAnsi"/>
                <w:b/>
                <w:lang w:val="mn-MN"/>
              </w:rPr>
              <w:t>№</w:t>
            </w:r>
          </w:p>
        </w:tc>
        <w:tc>
          <w:tcPr>
            <w:tcW w:w="1923" w:type="dxa"/>
            <w:vAlign w:val="center"/>
          </w:tcPr>
          <w:p w14:paraId="39C94C16" w14:textId="77777777" w:rsidR="00784F81" w:rsidRPr="00496FD6" w:rsidRDefault="00784F81" w:rsidP="00784F81">
            <w:pPr>
              <w:jc w:val="center"/>
              <w:rPr>
                <w:rFonts w:cstheme="minorHAnsi"/>
              </w:rPr>
            </w:pPr>
            <w:r w:rsidRPr="00496FD6">
              <w:rPr>
                <w:rFonts w:cstheme="minorHAnsi"/>
              </w:rPr>
              <w:t>STATE REGISTRATION NUMBER</w:t>
            </w:r>
          </w:p>
        </w:tc>
        <w:tc>
          <w:tcPr>
            <w:tcW w:w="5366" w:type="dxa"/>
            <w:vAlign w:val="center"/>
          </w:tcPr>
          <w:p w14:paraId="7A78BDEF" w14:textId="77777777" w:rsidR="00784F81" w:rsidRPr="00496FD6" w:rsidRDefault="00784F81" w:rsidP="00784F81">
            <w:pPr>
              <w:jc w:val="center"/>
              <w:rPr>
                <w:rFonts w:cstheme="minorHAnsi"/>
              </w:rPr>
            </w:pPr>
            <w:r w:rsidRPr="00496FD6">
              <w:rPr>
                <w:rFonts w:cstheme="minorHAnsi"/>
              </w:rPr>
              <w:t>TITLE</w:t>
            </w:r>
          </w:p>
        </w:tc>
        <w:tc>
          <w:tcPr>
            <w:tcW w:w="1299" w:type="dxa"/>
            <w:vAlign w:val="center"/>
          </w:tcPr>
          <w:p w14:paraId="051B60C8" w14:textId="77777777" w:rsidR="00784F81" w:rsidRPr="00496FD6" w:rsidRDefault="00784F81" w:rsidP="00784F81">
            <w:pPr>
              <w:jc w:val="center"/>
              <w:rPr>
                <w:rFonts w:cstheme="minorHAnsi"/>
              </w:rPr>
            </w:pPr>
            <w:r w:rsidRPr="00496FD6">
              <w:rPr>
                <w:rFonts w:cstheme="minorHAnsi"/>
              </w:rPr>
              <w:t>PAGE NUMBER</w:t>
            </w:r>
          </w:p>
        </w:tc>
      </w:tr>
      <w:tr w:rsidR="00784F81" w14:paraId="02C634B2" w14:textId="77777777" w:rsidTr="00784F81">
        <w:trPr>
          <w:trHeight w:val="1048"/>
        </w:trPr>
        <w:tc>
          <w:tcPr>
            <w:tcW w:w="928" w:type="dxa"/>
            <w:vAlign w:val="center"/>
          </w:tcPr>
          <w:p w14:paraId="250BE1F6" w14:textId="77777777" w:rsidR="00784F81" w:rsidRPr="00496FD6" w:rsidRDefault="00784F81" w:rsidP="00784F81">
            <w:pPr>
              <w:jc w:val="center"/>
              <w:rPr>
                <w:rFonts w:cstheme="minorHAnsi"/>
              </w:rPr>
            </w:pPr>
            <w:r w:rsidRPr="00496FD6">
              <w:rPr>
                <w:rFonts w:cstheme="minorHAnsi"/>
              </w:rPr>
              <w:t>1</w:t>
            </w:r>
          </w:p>
        </w:tc>
        <w:tc>
          <w:tcPr>
            <w:tcW w:w="1923" w:type="dxa"/>
            <w:vAlign w:val="center"/>
          </w:tcPr>
          <w:p w14:paraId="53E8552F" w14:textId="77777777" w:rsidR="00784F81" w:rsidRPr="00496FD6" w:rsidRDefault="00784F81" w:rsidP="00784F81">
            <w:pPr>
              <w:jc w:val="center"/>
              <w:rPr>
                <w:rFonts w:cstheme="minorHAnsi"/>
              </w:rPr>
            </w:pPr>
            <w:r w:rsidRPr="00496FD6">
              <w:rPr>
                <w:rFonts w:cstheme="minorHAnsi"/>
              </w:rPr>
              <w:t>4738</w:t>
            </w:r>
          </w:p>
        </w:tc>
        <w:tc>
          <w:tcPr>
            <w:tcW w:w="5366" w:type="dxa"/>
          </w:tcPr>
          <w:p w14:paraId="1318DC78" w14:textId="77777777" w:rsidR="00784F81" w:rsidRPr="00496FD6" w:rsidRDefault="00784F81" w:rsidP="00784F81">
            <w:pPr>
              <w:rPr>
                <w:rFonts w:cstheme="minorHAnsi"/>
              </w:rPr>
            </w:pPr>
            <w:r w:rsidRPr="008313F4">
              <w:rPr>
                <w:rFonts w:cstheme="minorHAnsi"/>
                <w:b/>
                <w:bCs/>
              </w:rPr>
              <w:t>“Regulation on licenses, permits, authorization and registration procedure of real estate brokerage organizations”</w:t>
            </w:r>
            <w:r w:rsidRPr="00496FD6">
              <w:rPr>
                <w:rFonts w:cstheme="minorHAnsi"/>
              </w:rPr>
              <w:t xml:space="preserve"> </w:t>
            </w:r>
            <w:r w:rsidRPr="00496FD6">
              <w:rPr>
                <w:rFonts w:cstheme="minorHAnsi"/>
                <w:i/>
                <w:iCs/>
              </w:rPr>
              <w:t>Resolution No. 120 of the Financial Regulatory Commission in 2020.</w:t>
            </w:r>
            <w:r w:rsidRPr="00496FD6">
              <w:rPr>
                <w:rFonts w:cstheme="minorHAnsi"/>
              </w:rPr>
              <w:t xml:space="preserve"> </w:t>
            </w:r>
          </w:p>
        </w:tc>
        <w:tc>
          <w:tcPr>
            <w:tcW w:w="1299" w:type="dxa"/>
          </w:tcPr>
          <w:p w14:paraId="3BCEACC1" w14:textId="77777777" w:rsidR="00784F81" w:rsidRPr="00496FD6" w:rsidRDefault="00784F81" w:rsidP="00784F81">
            <w:pPr>
              <w:jc w:val="center"/>
              <w:rPr>
                <w:rFonts w:cstheme="minorHAnsi"/>
              </w:rPr>
            </w:pPr>
            <w:r>
              <w:rPr>
                <w:rFonts w:cstheme="minorHAnsi"/>
              </w:rPr>
              <w:t>14</w:t>
            </w:r>
          </w:p>
        </w:tc>
      </w:tr>
      <w:tr w:rsidR="00784F81" w14:paraId="71227C99" w14:textId="77777777" w:rsidTr="00784F81">
        <w:trPr>
          <w:trHeight w:val="576"/>
        </w:trPr>
        <w:tc>
          <w:tcPr>
            <w:tcW w:w="928" w:type="dxa"/>
            <w:vAlign w:val="center"/>
          </w:tcPr>
          <w:p w14:paraId="08E03635" w14:textId="77777777" w:rsidR="00784F81" w:rsidRPr="00496FD6" w:rsidRDefault="00784F81" w:rsidP="00784F81">
            <w:pPr>
              <w:jc w:val="center"/>
              <w:rPr>
                <w:rFonts w:cstheme="minorHAnsi"/>
              </w:rPr>
            </w:pPr>
            <w:r w:rsidRPr="00496FD6">
              <w:rPr>
                <w:rFonts w:cstheme="minorHAnsi"/>
              </w:rPr>
              <w:t>2</w:t>
            </w:r>
          </w:p>
        </w:tc>
        <w:tc>
          <w:tcPr>
            <w:tcW w:w="1923" w:type="dxa"/>
            <w:vAlign w:val="center"/>
          </w:tcPr>
          <w:p w14:paraId="1C8C42CF" w14:textId="77777777" w:rsidR="00784F81" w:rsidRPr="00496FD6" w:rsidRDefault="00784F81" w:rsidP="00784F81">
            <w:pPr>
              <w:jc w:val="center"/>
              <w:rPr>
                <w:rFonts w:cstheme="minorHAnsi"/>
              </w:rPr>
            </w:pPr>
            <w:r w:rsidRPr="00496FD6">
              <w:rPr>
                <w:rFonts w:cstheme="minorHAnsi"/>
              </w:rPr>
              <w:t>4765</w:t>
            </w:r>
          </w:p>
        </w:tc>
        <w:tc>
          <w:tcPr>
            <w:tcW w:w="5366" w:type="dxa"/>
          </w:tcPr>
          <w:p w14:paraId="4BEBC878" w14:textId="77777777" w:rsidR="00784F81" w:rsidRPr="00496FD6" w:rsidRDefault="00784F81" w:rsidP="00784F81">
            <w:pPr>
              <w:rPr>
                <w:rFonts w:cstheme="minorHAnsi"/>
              </w:rPr>
            </w:pPr>
            <w:r>
              <w:rPr>
                <w:rFonts w:cstheme="minorHAnsi"/>
              </w:rPr>
              <w:t xml:space="preserve">Resolution No. 179 of the Financial Regulatory Commission in 2020. </w:t>
            </w:r>
          </w:p>
        </w:tc>
        <w:tc>
          <w:tcPr>
            <w:tcW w:w="1299" w:type="dxa"/>
          </w:tcPr>
          <w:p w14:paraId="2F7686EA" w14:textId="77777777" w:rsidR="00784F81" w:rsidRPr="00496FD6" w:rsidRDefault="00784F81" w:rsidP="00784F81">
            <w:pPr>
              <w:jc w:val="center"/>
              <w:rPr>
                <w:rFonts w:cstheme="minorHAnsi"/>
              </w:rPr>
            </w:pPr>
            <w:r>
              <w:rPr>
                <w:rFonts w:cstheme="minorHAnsi"/>
              </w:rPr>
              <w:t>18</w:t>
            </w:r>
          </w:p>
        </w:tc>
      </w:tr>
      <w:tr w:rsidR="00784F81" w14:paraId="6E3322B9" w14:textId="77777777" w:rsidTr="00784F81">
        <w:trPr>
          <w:trHeight w:val="1048"/>
        </w:trPr>
        <w:tc>
          <w:tcPr>
            <w:tcW w:w="928" w:type="dxa"/>
            <w:vAlign w:val="center"/>
          </w:tcPr>
          <w:p w14:paraId="5312DF42" w14:textId="77777777" w:rsidR="00784F81" w:rsidRPr="00496FD6" w:rsidRDefault="00784F81" w:rsidP="00784F81">
            <w:pPr>
              <w:jc w:val="center"/>
              <w:rPr>
                <w:rFonts w:cstheme="minorHAnsi"/>
              </w:rPr>
            </w:pPr>
            <w:r w:rsidRPr="00496FD6">
              <w:rPr>
                <w:rFonts w:cstheme="minorHAnsi"/>
              </w:rPr>
              <w:t>3</w:t>
            </w:r>
          </w:p>
        </w:tc>
        <w:tc>
          <w:tcPr>
            <w:tcW w:w="1923" w:type="dxa"/>
            <w:vAlign w:val="center"/>
          </w:tcPr>
          <w:p w14:paraId="160BD38D" w14:textId="77777777" w:rsidR="00784F81" w:rsidRPr="00496FD6" w:rsidRDefault="00784F81" w:rsidP="00784F81">
            <w:pPr>
              <w:jc w:val="center"/>
              <w:rPr>
                <w:rFonts w:cstheme="minorHAnsi"/>
              </w:rPr>
            </w:pPr>
            <w:r w:rsidRPr="00496FD6">
              <w:rPr>
                <w:rFonts w:cstheme="minorHAnsi"/>
              </w:rPr>
              <w:t>4766</w:t>
            </w:r>
          </w:p>
        </w:tc>
        <w:tc>
          <w:tcPr>
            <w:tcW w:w="5366" w:type="dxa"/>
          </w:tcPr>
          <w:p w14:paraId="5EBF8344" w14:textId="77777777" w:rsidR="00784F81" w:rsidRPr="008313F4" w:rsidRDefault="00784F81" w:rsidP="00784F81">
            <w:pPr>
              <w:rPr>
                <w:rFonts w:cstheme="minorHAnsi"/>
                <w:b/>
                <w:bCs/>
              </w:rPr>
            </w:pPr>
            <w:r w:rsidRPr="008313F4">
              <w:rPr>
                <w:rFonts w:cstheme="minorHAnsi"/>
                <w:b/>
                <w:bCs/>
              </w:rPr>
              <w:t xml:space="preserve">“Regulation on </w:t>
            </w:r>
            <w:r>
              <w:rPr>
                <w:rFonts w:cstheme="minorHAnsi"/>
                <w:b/>
                <w:bCs/>
              </w:rPr>
              <w:t>off-site</w:t>
            </w:r>
            <w:r w:rsidRPr="008313F4">
              <w:rPr>
                <w:rFonts w:cstheme="minorHAnsi"/>
                <w:b/>
                <w:bCs/>
              </w:rPr>
              <w:t xml:space="preserve"> and on-site </w:t>
            </w:r>
            <w:r>
              <w:rPr>
                <w:rFonts w:cstheme="minorHAnsi"/>
                <w:b/>
                <w:bCs/>
              </w:rPr>
              <w:t>inspection and supervision</w:t>
            </w:r>
            <w:r w:rsidRPr="008313F4">
              <w:rPr>
                <w:rFonts w:cstheme="minorHAnsi"/>
                <w:b/>
                <w:bCs/>
              </w:rPr>
              <w:t xml:space="preserve"> of real estate brokerage organizations”</w:t>
            </w:r>
          </w:p>
          <w:p w14:paraId="741BA6A2" w14:textId="77777777" w:rsidR="00784F81" w:rsidRPr="00496FD6" w:rsidRDefault="00784F81" w:rsidP="00784F81">
            <w:pPr>
              <w:rPr>
                <w:rFonts w:cstheme="minorHAnsi"/>
              </w:rPr>
            </w:pPr>
            <w:r>
              <w:rPr>
                <w:rFonts w:cstheme="minorHAnsi"/>
              </w:rPr>
              <w:t xml:space="preserve">Resolution No. 181 of the Financial Regulatory Commission in 2020. </w:t>
            </w:r>
          </w:p>
        </w:tc>
        <w:tc>
          <w:tcPr>
            <w:tcW w:w="1299" w:type="dxa"/>
          </w:tcPr>
          <w:p w14:paraId="63D49A5F" w14:textId="77777777" w:rsidR="00784F81" w:rsidRPr="00496FD6" w:rsidRDefault="00784F81" w:rsidP="00784F81">
            <w:pPr>
              <w:jc w:val="center"/>
              <w:rPr>
                <w:rFonts w:cstheme="minorHAnsi"/>
              </w:rPr>
            </w:pPr>
            <w:r>
              <w:rPr>
                <w:rFonts w:cstheme="minorHAnsi"/>
              </w:rPr>
              <w:t>34</w:t>
            </w:r>
          </w:p>
        </w:tc>
      </w:tr>
      <w:tr w:rsidR="00784F81" w14:paraId="771D67DF" w14:textId="77777777" w:rsidTr="00784F81">
        <w:trPr>
          <w:trHeight w:val="983"/>
        </w:trPr>
        <w:tc>
          <w:tcPr>
            <w:tcW w:w="928" w:type="dxa"/>
            <w:vAlign w:val="center"/>
          </w:tcPr>
          <w:p w14:paraId="3AC808D8" w14:textId="77777777" w:rsidR="00784F81" w:rsidRPr="00496FD6" w:rsidRDefault="00784F81" w:rsidP="00784F81">
            <w:pPr>
              <w:jc w:val="center"/>
              <w:rPr>
                <w:rFonts w:cstheme="minorHAnsi"/>
              </w:rPr>
            </w:pPr>
            <w:r w:rsidRPr="00496FD6">
              <w:rPr>
                <w:rFonts w:cstheme="minorHAnsi"/>
              </w:rPr>
              <w:t>4</w:t>
            </w:r>
          </w:p>
        </w:tc>
        <w:tc>
          <w:tcPr>
            <w:tcW w:w="1923" w:type="dxa"/>
            <w:vAlign w:val="center"/>
          </w:tcPr>
          <w:p w14:paraId="27082734" w14:textId="77777777" w:rsidR="00784F81" w:rsidRPr="00496FD6" w:rsidRDefault="00784F81" w:rsidP="00784F81">
            <w:pPr>
              <w:jc w:val="center"/>
              <w:rPr>
                <w:rFonts w:cstheme="minorHAnsi"/>
              </w:rPr>
            </w:pPr>
          </w:p>
        </w:tc>
        <w:tc>
          <w:tcPr>
            <w:tcW w:w="5366" w:type="dxa"/>
          </w:tcPr>
          <w:p w14:paraId="7ED4BC78" w14:textId="77777777" w:rsidR="00784F81" w:rsidRPr="00496FD6" w:rsidRDefault="00784F81" w:rsidP="00784F81">
            <w:pPr>
              <w:rPr>
                <w:rFonts w:cstheme="minorHAnsi"/>
              </w:rPr>
            </w:pPr>
            <w:r w:rsidRPr="008313F4">
              <w:rPr>
                <w:rFonts w:cstheme="minorHAnsi"/>
                <w:b/>
                <w:bCs/>
              </w:rPr>
              <w:t>“Regulation for issuance of licenses, permits and registration of dealers in precious metals and stones”</w:t>
            </w:r>
            <w:r>
              <w:rPr>
                <w:rFonts w:cstheme="minorHAnsi"/>
              </w:rPr>
              <w:t xml:space="preserve"> </w:t>
            </w:r>
            <w:r w:rsidRPr="00496FD6">
              <w:rPr>
                <w:rFonts w:cstheme="minorHAnsi"/>
                <w:i/>
                <w:iCs/>
              </w:rPr>
              <w:t>Resolution No. 150 of the Financial Regulatory Commission in 2020.</w:t>
            </w:r>
            <w:r w:rsidRPr="00496FD6">
              <w:rPr>
                <w:rFonts w:cstheme="minorHAnsi"/>
              </w:rPr>
              <w:t xml:space="preserve"> </w:t>
            </w:r>
          </w:p>
        </w:tc>
        <w:tc>
          <w:tcPr>
            <w:tcW w:w="1299" w:type="dxa"/>
          </w:tcPr>
          <w:p w14:paraId="424F4BD8" w14:textId="77777777" w:rsidR="00784F81" w:rsidRPr="00496FD6" w:rsidRDefault="00784F81" w:rsidP="00784F81">
            <w:pPr>
              <w:jc w:val="center"/>
              <w:rPr>
                <w:rFonts w:cstheme="minorHAnsi"/>
              </w:rPr>
            </w:pPr>
            <w:r>
              <w:rPr>
                <w:rFonts w:cstheme="minorHAnsi"/>
              </w:rPr>
              <w:t>12</w:t>
            </w:r>
          </w:p>
        </w:tc>
      </w:tr>
      <w:tr w:rsidR="00784F81" w14:paraId="008912EE" w14:textId="77777777" w:rsidTr="00784F81">
        <w:trPr>
          <w:trHeight w:val="1048"/>
        </w:trPr>
        <w:tc>
          <w:tcPr>
            <w:tcW w:w="928" w:type="dxa"/>
            <w:vAlign w:val="center"/>
          </w:tcPr>
          <w:p w14:paraId="3E26BE03" w14:textId="77777777" w:rsidR="00784F81" w:rsidRPr="00496FD6" w:rsidRDefault="00784F81" w:rsidP="00784F81">
            <w:pPr>
              <w:jc w:val="center"/>
              <w:rPr>
                <w:rFonts w:cstheme="minorHAnsi"/>
              </w:rPr>
            </w:pPr>
            <w:r w:rsidRPr="00496FD6">
              <w:rPr>
                <w:rFonts w:cstheme="minorHAnsi"/>
              </w:rPr>
              <w:t>5</w:t>
            </w:r>
          </w:p>
        </w:tc>
        <w:tc>
          <w:tcPr>
            <w:tcW w:w="1923" w:type="dxa"/>
            <w:vAlign w:val="center"/>
          </w:tcPr>
          <w:p w14:paraId="6F54576C" w14:textId="77777777" w:rsidR="00784F81" w:rsidRPr="00496FD6" w:rsidRDefault="00784F81" w:rsidP="00784F81">
            <w:pPr>
              <w:jc w:val="center"/>
              <w:rPr>
                <w:rFonts w:cstheme="minorHAnsi"/>
              </w:rPr>
            </w:pPr>
          </w:p>
        </w:tc>
        <w:tc>
          <w:tcPr>
            <w:tcW w:w="5366" w:type="dxa"/>
          </w:tcPr>
          <w:p w14:paraId="11AABE60" w14:textId="77777777" w:rsidR="00784F81" w:rsidRPr="008313F4" w:rsidRDefault="00784F81" w:rsidP="00784F81">
            <w:pPr>
              <w:rPr>
                <w:rFonts w:cstheme="minorHAnsi"/>
                <w:b/>
                <w:bCs/>
              </w:rPr>
            </w:pPr>
            <w:r w:rsidRPr="008313F4">
              <w:rPr>
                <w:rFonts w:cstheme="minorHAnsi"/>
                <w:b/>
                <w:bCs/>
              </w:rPr>
              <w:t>“Regulation on off-site and on-site inspections and supervision of dealers of precious metals and stones or articles made of them”</w:t>
            </w:r>
          </w:p>
          <w:p w14:paraId="5E563154" w14:textId="77777777" w:rsidR="00784F81" w:rsidRPr="00496FD6" w:rsidRDefault="00784F81" w:rsidP="00784F81">
            <w:pPr>
              <w:rPr>
                <w:rFonts w:cstheme="minorHAnsi"/>
              </w:rPr>
            </w:pPr>
            <w:r>
              <w:rPr>
                <w:rFonts w:cstheme="minorHAnsi"/>
              </w:rPr>
              <w:t xml:space="preserve">Resolution No. 182 of the Financial Regulatory Commission in 2020. </w:t>
            </w:r>
          </w:p>
        </w:tc>
        <w:tc>
          <w:tcPr>
            <w:tcW w:w="1299" w:type="dxa"/>
          </w:tcPr>
          <w:p w14:paraId="2BAF5628" w14:textId="77777777" w:rsidR="00784F81" w:rsidRPr="00496FD6" w:rsidRDefault="00784F81" w:rsidP="00784F81">
            <w:pPr>
              <w:jc w:val="center"/>
              <w:rPr>
                <w:rFonts w:cstheme="minorHAnsi"/>
              </w:rPr>
            </w:pPr>
            <w:r>
              <w:rPr>
                <w:rFonts w:cstheme="minorHAnsi"/>
              </w:rPr>
              <w:t>26</w:t>
            </w:r>
          </w:p>
        </w:tc>
      </w:tr>
      <w:tr w:rsidR="00784F81" w14:paraId="791DE782" w14:textId="77777777" w:rsidTr="00784F81">
        <w:trPr>
          <w:trHeight w:val="1048"/>
        </w:trPr>
        <w:tc>
          <w:tcPr>
            <w:tcW w:w="928" w:type="dxa"/>
            <w:vAlign w:val="center"/>
          </w:tcPr>
          <w:p w14:paraId="25A7D222" w14:textId="77777777" w:rsidR="00784F81" w:rsidRPr="00496FD6" w:rsidRDefault="00784F81" w:rsidP="00784F81">
            <w:pPr>
              <w:jc w:val="center"/>
              <w:rPr>
                <w:rFonts w:cstheme="minorHAnsi"/>
              </w:rPr>
            </w:pPr>
            <w:r w:rsidRPr="00496FD6">
              <w:rPr>
                <w:rFonts w:cstheme="minorHAnsi"/>
              </w:rPr>
              <w:t>6</w:t>
            </w:r>
          </w:p>
        </w:tc>
        <w:tc>
          <w:tcPr>
            <w:tcW w:w="1923" w:type="dxa"/>
            <w:vAlign w:val="center"/>
          </w:tcPr>
          <w:p w14:paraId="3235397F" w14:textId="77777777" w:rsidR="00784F81" w:rsidRPr="00496FD6" w:rsidRDefault="00784F81" w:rsidP="00784F81">
            <w:pPr>
              <w:jc w:val="center"/>
              <w:rPr>
                <w:rFonts w:cstheme="minorHAnsi"/>
              </w:rPr>
            </w:pPr>
          </w:p>
        </w:tc>
        <w:tc>
          <w:tcPr>
            <w:tcW w:w="5366" w:type="dxa"/>
          </w:tcPr>
          <w:p w14:paraId="3EEB85A1" w14:textId="77777777" w:rsidR="00784F81" w:rsidRPr="00496FD6" w:rsidRDefault="00784F81" w:rsidP="00784F81">
            <w:pPr>
              <w:rPr>
                <w:rFonts w:cstheme="minorHAnsi"/>
              </w:rPr>
            </w:pPr>
            <w:r w:rsidRPr="008313F4">
              <w:rPr>
                <w:rFonts w:cstheme="minorHAnsi"/>
                <w:b/>
                <w:bCs/>
              </w:rPr>
              <w:t>“Guidelines targeted financial sanctions relating to terrorist financing and proliferation financing”</w:t>
            </w:r>
            <w:r w:rsidRPr="00496FD6">
              <w:rPr>
                <w:rFonts w:cstheme="minorHAnsi"/>
              </w:rPr>
              <w:t xml:space="preserve"> </w:t>
            </w:r>
            <w:r w:rsidRPr="00496FD6">
              <w:rPr>
                <w:rFonts w:cstheme="minorHAnsi"/>
                <w:i/>
                <w:iCs/>
              </w:rPr>
              <w:t>Mongolian Government Decision No. 464 in 2019.</w:t>
            </w:r>
          </w:p>
        </w:tc>
        <w:tc>
          <w:tcPr>
            <w:tcW w:w="1299" w:type="dxa"/>
          </w:tcPr>
          <w:p w14:paraId="6C72546E" w14:textId="77777777" w:rsidR="00784F81" w:rsidRPr="00496FD6" w:rsidRDefault="00784F81" w:rsidP="00784F81">
            <w:pPr>
              <w:jc w:val="center"/>
              <w:rPr>
                <w:rFonts w:cstheme="minorHAnsi"/>
              </w:rPr>
            </w:pPr>
            <w:r>
              <w:rPr>
                <w:rFonts w:cstheme="minorHAnsi"/>
              </w:rPr>
              <w:t>16</w:t>
            </w:r>
          </w:p>
        </w:tc>
      </w:tr>
      <w:tr w:rsidR="00784F81" w14:paraId="51EEF69C" w14:textId="77777777" w:rsidTr="00784F81">
        <w:trPr>
          <w:trHeight w:val="1048"/>
        </w:trPr>
        <w:tc>
          <w:tcPr>
            <w:tcW w:w="928" w:type="dxa"/>
            <w:vAlign w:val="center"/>
          </w:tcPr>
          <w:p w14:paraId="0B4767A2" w14:textId="77777777" w:rsidR="00784F81" w:rsidRPr="00496FD6" w:rsidRDefault="00784F81" w:rsidP="00784F81">
            <w:pPr>
              <w:jc w:val="center"/>
              <w:rPr>
                <w:rFonts w:cstheme="minorHAnsi"/>
              </w:rPr>
            </w:pPr>
            <w:r w:rsidRPr="00496FD6">
              <w:rPr>
                <w:rFonts w:cstheme="minorHAnsi"/>
              </w:rPr>
              <w:t>7</w:t>
            </w:r>
          </w:p>
        </w:tc>
        <w:tc>
          <w:tcPr>
            <w:tcW w:w="1923" w:type="dxa"/>
            <w:vAlign w:val="center"/>
          </w:tcPr>
          <w:p w14:paraId="4D5F59A3" w14:textId="77777777" w:rsidR="00784F81" w:rsidRPr="00496FD6" w:rsidRDefault="00784F81" w:rsidP="00784F81">
            <w:pPr>
              <w:jc w:val="center"/>
              <w:rPr>
                <w:rFonts w:cstheme="minorHAnsi"/>
              </w:rPr>
            </w:pPr>
            <w:r w:rsidRPr="00496FD6">
              <w:rPr>
                <w:rFonts w:cstheme="minorHAnsi"/>
              </w:rPr>
              <w:t>4221</w:t>
            </w:r>
          </w:p>
        </w:tc>
        <w:tc>
          <w:tcPr>
            <w:tcW w:w="5366" w:type="dxa"/>
          </w:tcPr>
          <w:p w14:paraId="5DFEAD5C" w14:textId="77777777" w:rsidR="00784F81" w:rsidRPr="00496FD6" w:rsidRDefault="00784F81" w:rsidP="00784F81">
            <w:pPr>
              <w:rPr>
                <w:rFonts w:cstheme="minorHAnsi"/>
              </w:rPr>
            </w:pPr>
            <w:r w:rsidRPr="008313F4">
              <w:rPr>
                <w:rFonts w:cstheme="minorHAnsi"/>
                <w:b/>
                <w:bCs/>
              </w:rPr>
              <w:t>“Preventive measures regulations on combating money laundering and terrorist financing”</w:t>
            </w:r>
            <w:r w:rsidRPr="00496FD6">
              <w:rPr>
                <w:rFonts w:cstheme="minorHAnsi"/>
              </w:rPr>
              <w:t xml:space="preserve"> </w:t>
            </w:r>
            <w:r w:rsidRPr="00496FD6">
              <w:rPr>
                <w:rFonts w:cstheme="minorHAnsi"/>
                <w:i/>
                <w:iCs/>
              </w:rPr>
              <w:t>Decree A-26 of Governor of the Bank of Mongolia 2019.</w:t>
            </w:r>
            <w:r w:rsidRPr="00496FD6">
              <w:rPr>
                <w:rFonts w:cstheme="minorHAnsi"/>
              </w:rPr>
              <w:t xml:space="preserve"> </w:t>
            </w:r>
          </w:p>
        </w:tc>
        <w:tc>
          <w:tcPr>
            <w:tcW w:w="1299" w:type="dxa"/>
          </w:tcPr>
          <w:p w14:paraId="0E4D98E3" w14:textId="77777777" w:rsidR="00784F81" w:rsidRPr="00496FD6" w:rsidRDefault="00784F81" w:rsidP="00784F81">
            <w:pPr>
              <w:jc w:val="center"/>
              <w:rPr>
                <w:rFonts w:cstheme="minorHAnsi"/>
              </w:rPr>
            </w:pPr>
            <w:r>
              <w:rPr>
                <w:rFonts w:cstheme="minorHAnsi"/>
              </w:rPr>
              <w:t>21</w:t>
            </w:r>
          </w:p>
        </w:tc>
      </w:tr>
      <w:tr w:rsidR="00784F81" w14:paraId="4D881487" w14:textId="77777777" w:rsidTr="00784F81">
        <w:trPr>
          <w:trHeight w:val="1048"/>
        </w:trPr>
        <w:tc>
          <w:tcPr>
            <w:tcW w:w="928" w:type="dxa"/>
            <w:vAlign w:val="center"/>
          </w:tcPr>
          <w:p w14:paraId="577796B6" w14:textId="77777777" w:rsidR="00784F81" w:rsidRPr="00496FD6" w:rsidRDefault="00784F81" w:rsidP="00784F81">
            <w:pPr>
              <w:jc w:val="center"/>
              <w:rPr>
                <w:rFonts w:cstheme="minorHAnsi"/>
              </w:rPr>
            </w:pPr>
            <w:r w:rsidRPr="00496FD6">
              <w:rPr>
                <w:rFonts w:cstheme="minorHAnsi"/>
              </w:rPr>
              <w:t>8</w:t>
            </w:r>
          </w:p>
        </w:tc>
        <w:tc>
          <w:tcPr>
            <w:tcW w:w="1923" w:type="dxa"/>
            <w:vAlign w:val="center"/>
          </w:tcPr>
          <w:p w14:paraId="21DDAE5E" w14:textId="77777777" w:rsidR="00784F81" w:rsidRPr="00496FD6" w:rsidRDefault="00784F81" w:rsidP="00784F81">
            <w:pPr>
              <w:jc w:val="center"/>
              <w:rPr>
                <w:rFonts w:cstheme="minorHAnsi"/>
              </w:rPr>
            </w:pPr>
            <w:r w:rsidRPr="00496FD6">
              <w:rPr>
                <w:rFonts w:cstheme="minorHAnsi"/>
              </w:rPr>
              <w:t>4038</w:t>
            </w:r>
          </w:p>
        </w:tc>
        <w:tc>
          <w:tcPr>
            <w:tcW w:w="5366" w:type="dxa"/>
          </w:tcPr>
          <w:p w14:paraId="5077155A" w14:textId="77777777" w:rsidR="00784F81" w:rsidRPr="008313F4" w:rsidRDefault="00784F81" w:rsidP="00784F81">
            <w:pPr>
              <w:rPr>
                <w:rFonts w:cstheme="minorHAnsi"/>
                <w:b/>
                <w:bCs/>
              </w:rPr>
            </w:pPr>
            <w:r w:rsidRPr="008313F4">
              <w:rPr>
                <w:rFonts w:cstheme="minorHAnsi"/>
                <w:b/>
                <w:bCs/>
              </w:rPr>
              <w:t>“Regulation on off-site and on-site inspection and supervision of reporting entities”</w:t>
            </w:r>
          </w:p>
          <w:p w14:paraId="037B094C" w14:textId="77777777" w:rsidR="00784F81" w:rsidRPr="00496FD6" w:rsidRDefault="00784F81" w:rsidP="00784F81">
            <w:pPr>
              <w:rPr>
                <w:rFonts w:cstheme="minorHAnsi"/>
              </w:rPr>
            </w:pPr>
            <w:r>
              <w:rPr>
                <w:rFonts w:cstheme="minorHAnsi"/>
              </w:rPr>
              <w:t>Resolution No. 339 of the Financial Regulatory Commission in 2018</w:t>
            </w:r>
          </w:p>
        </w:tc>
        <w:tc>
          <w:tcPr>
            <w:tcW w:w="1299" w:type="dxa"/>
          </w:tcPr>
          <w:p w14:paraId="222055CB" w14:textId="77777777" w:rsidR="00784F81" w:rsidRPr="00496FD6" w:rsidRDefault="00784F81" w:rsidP="00784F81">
            <w:pPr>
              <w:jc w:val="center"/>
              <w:rPr>
                <w:rFonts w:cstheme="minorHAnsi"/>
              </w:rPr>
            </w:pPr>
            <w:r>
              <w:rPr>
                <w:rFonts w:cstheme="minorHAnsi"/>
              </w:rPr>
              <w:t>18</w:t>
            </w:r>
          </w:p>
        </w:tc>
      </w:tr>
      <w:tr w:rsidR="00784F81" w14:paraId="12E3876A" w14:textId="77777777" w:rsidTr="00784F81">
        <w:trPr>
          <w:trHeight w:val="1048"/>
        </w:trPr>
        <w:tc>
          <w:tcPr>
            <w:tcW w:w="928" w:type="dxa"/>
            <w:vAlign w:val="center"/>
          </w:tcPr>
          <w:p w14:paraId="78885954" w14:textId="77777777" w:rsidR="00784F81" w:rsidRPr="00496FD6" w:rsidRDefault="00784F81" w:rsidP="00784F81">
            <w:pPr>
              <w:jc w:val="center"/>
              <w:rPr>
                <w:rFonts w:cstheme="minorHAnsi"/>
              </w:rPr>
            </w:pPr>
            <w:r w:rsidRPr="00496FD6">
              <w:rPr>
                <w:rFonts w:cstheme="minorHAnsi"/>
              </w:rPr>
              <w:t>9</w:t>
            </w:r>
          </w:p>
        </w:tc>
        <w:tc>
          <w:tcPr>
            <w:tcW w:w="1923" w:type="dxa"/>
            <w:vAlign w:val="center"/>
          </w:tcPr>
          <w:p w14:paraId="21D7E700" w14:textId="77777777" w:rsidR="00784F81" w:rsidRPr="00496FD6" w:rsidRDefault="00784F81" w:rsidP="00784F81">
            <w:pPr>
              <w:jc w:val="center"/>
              <w:rPr>
                <w:rFonts w:cstheme="minorHAnsi"/>
              </w:rPr>
            </w:pPr>
          </w:p>
        </w:tc>
        <w:tc>
          <w:tcPr>
            <w:tcW w:w="5366" w:type="dxa"/>
          </w:tcPr>
          <w:p w14:paraId="72C5ABA9" w14:textId="77777777" w:rsidR="00784F81" w:rsidRPr="008313F4" w:rsidRDefault="00784F81" w:rsidP="00784F81">
            <w:pPr>
              <w:rPr>
                <w:rFonts w:cstheme="minorHAnsi"/>
                <w:b/>
                <w:bCs/>
              </w:rPr>
            </w:pPr>
            <w:r>
              <w:rPr>
                <w:rFonts w:cstheme="minorHAnsi"/>
                <w:b/>
                <w:bCs/>
              </w:rPr>
              <w:t>“</w:t>
            </w:r>
            <w:r w:rsidRPr="008313F4">
              <w:rPr>
                <w:rFonts w:cstheme="minorHAnsi"/>
                <w:b/>
                <w:bCs/>
              </w:rPr>
              <w:t>Regulation for reporting entities on submitting report electronically</w:t>
            </w:r>
            <w:r>
              <w:rPr>
                <w:rFonts w:cstheme="minorHAnsi"/>
                <w:b/>
                <w:bCs/>
              </w:rPr>
              <w:t>”</w:t>
            </w:r>
          </w:p>
          <w:p w14:paraId="2457693C" w14:textId="77777777" w:rsidR="00784F81" w:rsidRPr="00496FD6" w:rsidRDefault="00784F81" w:rsidP="00784F81">
            <w:pPr>
              <w:rPr>
                <w:rFonts w:cstheme="minorHAnsi"/>
                <w:i/>
                <w:iCs/>
              </w:rPr>
            </w:pPr>
            <w:r w:rsidRPr="00496FD6">
              <w:rPr>
                <w:rFonts w:cstheme="minorHAnsi"/>
                <w:i/>
                <w:iCs/>
              </w:rPr>
              <w:t xml:space="preserve">Decree A-326 of Governor of the Bank of Mongolia 2019. </w:t>
            </w:r>
          </w:p>
        </w:tc>
        <w:tc>
          <w:tcPr>
            <w:tcW w:w="1299" w:type="dxa"/>
          </w:tcPr>
          <w:p w14:paraId="486CD992" w14:textId="77777777" w:rsidR="00784F81" w:rsidRPr="00496FD6" w:rsidRDefault="00784F81" w:rsidP="00784F81">
            <w:pPr>
              <w:jc w:val="center"/>
              <w:rPr>
                <w:rFonts w:cstheme="minorHAnsi"/>
              </w:rPr>
            </w:pPr>
            <w:r>
              <w:rPr>
                <w:rFonts w:cstheme="minorHAnsi"/>
              </w:rPr>
              <w:t>20</w:t>
            </w:r>
          </w:p>
        </w:tc>
      </w:tr>
    </w:tbl>
    <w:p w14:paraId="5EA8B036" w14:textId="77777777" w:rsidR="00251B28" w:rsidRPr="00D7796A" w:rsidRDefault="00251B28" w:rsidP="00784F81">
      <w:pPr>
        <w:spacing w:after="0" w:line="276" w:lineRule="auto"/>
        <w:rPr>
          <w:rFonts w:ascii="Times New Roman" w:hAnsi="Times New Roman" w:cs="Times New Roman"/>
          <w:bCs/>
          <w:i/>
          <w:sz w:val="24"/>
          <w:szCs w:val="24"/>
        </w:rPr>
      </w:pPr>
    </w:p>
    <w:sectPr w:rsidR="00251B28" w:rsidRPr="00D7796A" w:rsidSect="00775C6A">
      <w:footerReference w:type="default" r:id="rId7"/>
      <w:pgSz w:w="11906" w:h="16838"/>
      <w:pgMar w:top="851" w:right="1021" w:bottom="85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91B58" w14:textId="77777777" w:rsidR="00087D81" w:rsidRDefault="00087D81" w:rsidP="00E40E2F">
      <w:pPr>
        <w:spacing w:after="0" w:line="240" w:lineRule="auto"/>
      </w:pPr>
      <w:r>
        <w:separator/>
      </w:r>
    </w:p>
  </w:endnote>
  <w:endnote w:type="continuationSeparator" w:id="0">
    <w:p w14:paraId="4100AE48" w14:textId="77777777" w:rsidR="00087D81" w:rsidRDefault="00087D81" w:rsidP="00E40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6166355"/>
      <w:docPartObj>
        <w:docPartGallery w:val="Page Numbers (Bottom of Page)"/>
        <w:docPartUnique/>
      </w:docPartObj>
    </w:sdtPr>
    <w:sdtEndPr>
      <w:rPr>
        <w:noProof/>
      </w:rPr>
    </w:sdtEndPr>
    <w:sdtContent>
      <w:p w14:paraId="244D9C71" w14:textId="542C3ED9" w:rsidR="00E40E2F" w:rsidRDefault="00FC582C" w:rsidP="00FC58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7B562" w14:textId="77777777" w:rsidR="00087D81" w:rsidRDefault="00087D81" w:rsidP="00E40E2F">
      <w:pPr>
        <w:spacing w:after="0" w:line="240" w:lineRule="auto"/>
      </w:pPr>
      <w:r>
        <w:separator/>
      </w:r>
    </w:p>
  </w:footnote>
  <w:footnote w:type="continuationSeparator" w:id="0">
    <w:p w14:paraId="1AC3DDB3" w14:textId="77777777" w:rsidR="00087D81" w:rsidRDefault="00087D81" w:rsidP="00E40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4C7D"/>
    <w:multiLevelType w:val="hybridMultilevel"/>
    <w:tmpl w:val="4CDAB8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1F3E3B"/>
    <w:multiLevelType w:val="hybridMultilevel"/>
    <w:tmpl w:val="9774D7BE"/>
    <w:lvl w:ilvl="0" w:tplc="6380A606">
      <w:start w:val="1"/>
      <w:numFmt w:val="decimal"/>
      <w:lvlText w:val="%1."/>
      <w:lvlJc w:val="left"/>
      <w:pPr>
        <w:ind w:left="27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33CA182C"/>
    <w:multiLevelType w:val="hybridMultilevel"/>
    <w:tmpl w:val="FAD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43842"/>
    <w:multiLevelType w:val="hybridMultilevel"/>
    <w:tmpl w:val="929AB0B8"/>
    <w:lvl w:ilvl="0" w:tplc="0EF063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80FE5"/>
    <w:multiLevelType w:val="hybridMultilevel"/>
    <w:tmpl w:val="E9EA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26CE3"/>
    <w:multiLevelType w:val="hybridMultilevel"/>
    <w:tmpl w:val="37089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2444E9"/>
    <w:multiLevelType w:val="hybridMultilevel"/>
    <w:tmpl w:val="660EA86A"/>
    <w:lvl w:ilvl="0" w:tplc="907A4086">
      <w:start w:val="1"/>
      <w:numFmt w:val="decimal"/>
      <w:lvlText w:val="%1."/>
      <w:lvlJc w:val="left"/>
      <w:pPr>
        <w:ind w:left="720" w:hanging="360"/>
      </w:pPr>
      <w:rPr>
        <w:rFonts w:hint="default"/>
        <w:b/>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97A26"/>
    <w:multiLevelType w:val="hybridMultilevel"/>
    <w:tmpl w:val="FDAA20E2"/>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sjA1MjM1MjU0szBS0lEKTi0uzszPAykwrgUAnuhj7SwAAAA="/>
  </w:docVars>
  <w:rsids>
    <w:rsidRoot w:val="00366BB1"/>
    <w:rsid w:val="00010210"/>
    <w:rsid w:val="00011712"/>
    <w:rsid w:val="000178B6"/>
    <w:rsid w:val="00023176"/>
    <w:rsid w:val="00027095"/>
    <w:rsid w:val="00032AE9"/>
    <w:rsid w:val="000335E2"/>
    <w:rsid w:val="0003624B"/>
    <w:rsid w:val="000368E1"/>
    <w:rsid w:val="00043E58"/>
    <w:rsid w:val="00052511"/>
    <w:rsid w:val="00056467"/>
    <w:rsid w:val="00056C52"/>
    <w:rsid w:val="00063D0D"/>
    <w:rsid w:val="00067042"/>
    <w:rsid w:val="00067D14"/>
    <w:rsid w:val="00075953"/>
    <w:rsid w:val="00076F37"/>
    <w:rsid w:val="000771DA"/>
    <w:rsid w:val="00082599"/>
    <w:rsid w:val="00086B74"/>
    <w:rsid w:val="00087D81"/>
    <w:rsid w:val="00092DA9"/>
    <w:rsid w:val="000933CD"/>
    <w:rsid w:val="00096B36"/>
    <w:rsid w:val="00096E75"/>
    <w:rsid w:val="000A06E5"/>
    <w:rsid w:val="000A26C7"/>
    <w:rsid w:val="000B71C9"/>
    <w:rsid w:val="000C1DC4"/>
    <w:rsid w:val="000C3D94"/>
    <w:rsid w:val="000C7A74"/>
    <w:rsid w:val="000D10EA"/>
    <w:rsid w:val="000D64DF"/>
    <w:rsid w:val="000D6A97"/>
    <w:rsid w:val="000D7E63"/>
    <w:rsid w:val="000E45A0"/>
    <w:rsid w:val="000E583D"/>
    <w:rsid w:val="000E6E5E"/>
    <w:rsid w:val="000F14FF"/>
    <w:rsid w:val="000F3EC2"/>
    <w:rsid w:val="0010231C"/>
    <w:rsid w:val="0011563C"/>
    <w:rsid w:val="00116722"/>
    <w:rsid w:val="00116AF2"/>
    <w:rsid w:val="00125F7C"/>
    <w:rsid w:val="00136A4E"/>
    <w:rsid w:val="00137BD0"/>
    <w:rsid w:val="00147887"/>
    <w:rsid w:val="00147AE1"/>
    <w:rsid w:val="00150D9C"/>
    <w:rsid w:val="00151B7B"/>
    <w:rsid w:val="0015730E"/>
    <w:rsid w:val="00157764"/>
    <w:rsid w:val="0017403A"/>
    <w:rsid w:val="00175B1C"/>
    <w:rsid w:val="00180A0E"/>
    <w:rsid w:val="00184D00"/>
    <w:rsid w:val="001856E1"/>
    <w:rsid w:val="00193515"/>
    <w:rsid w:val="001978BF"/>
    <w:rsid w:val="001A4E8B"/>
    <w:rsid w:val="001A6E47"/>
    <w:rsid w:val="001A75AD"/>
    <w:rsid w:val="001B3F6B"/>
    <w:rsid w:val="001B5143"/>
    <w:rsid w:val="001B54DE"/>
    <w:rsid w:val="001C22F5"/>
    <w:rsid w:val="001C2696"/>
    <w:rsid w:val="001C2DD2"/>
    <w:rsid w:val="001C430F"/>
    <w:rsid w:val="001C4D42"/>
    <w:rsid w:val="001D08FF"/>
    <w:rsid w:val="001D0CD3"/>
    <w:rsid w:val="001D0D74"/>
    <w:rsid w:val="001D0E9E"/>
    <w:rsid w:val="001D280E"/>
    <w:rsid w:val="001D3343"/>
    <w:rsid w:val="001D5F54"/>
    <w:rsid w:val="001D789D"/>
    <w:rsid w:val="001E1C02"/>
    <w:rsid w:val="001E5279"/>
    <w:rsid w:val="001F16C4"/>
    <w:rsid w:val="001F73E8"/>
    <w:rsid w:val="00205E5C"/>
    <w:rsid w:val="002064B2"/>
    <w:rsid w:val="00210CDE"/>
    <w:rsid w:val="00210E97"/>
    <w:rsid w:val="002152CE"/>
    <w:rsid w:val="0022001F"/>
    <w:rsid w:val="00220CEB"/>
    <w:rsid w:val="00222C38"/>
    <w:rsid w:val="00224266"/>
    <w:rsid w:val="00227E95"/>
    <w:rsid w:val="0023468B"/>
    <w:rsid w:val="0023657E"/>
    <w:rsid w:val="002403E4"/>
    <w:rsid w:val="002431EE"/>
    <w:rsid w:val="002512E0"/>
    <w:rsid w:val="002517AA"/>
    <w:rsid w:val="00251B28"/>
    <w:rsid w:val="0025436C"/>
    <w:rsid w:val="002567AA"/>
    <w:rsid w:val="00261CB0"/>
    <w:rsid w:val="00276DBF"/>
    <w:rsid w:val="0028197E"/>
    <w:rsid w:val="00283591"/>
    <w:rsid w:val="00290BD5"/>
    <w:rsid w:val="00290CB9"/>
    <w:rsid w:val="0029529C"/>
    <w:rsid w:val="002A1C11"/>
    <w:rsid w:val="002A6751"/>
    <w:rsid w:val="002A7FA4"/>
    <w:rsid w:val="002D18F7"/>
    <w:rsid w:val="002D71E8"/>
    <w:rsid w:val="002E3221"/>
    <w:rsid w:val="002E70F9"/>
    <w:rsid w:val="002F65C9"/>
    <w:rsid w:val="002F7EDB"/>
    <w:rsid w:val="00300201"/>
    <w:rsid w:val="00303B89"/>
    <w:rsid w:val="003040BC"/>
    <w:rsid w:val="003048B7"/>
    <w:rsid w:val="003147B1"/>
    <w:rsid w:val="003169E3"/>
    <w:rsid w:val="00326DF4"/>
    <w:rsid w:val="0033147F"/>
    <w:rsid w:val="00334CE6"/>
    <w:rsid w:val="003358F2"/>
    <w:rsid w:val="00342A09"/>
    <w:rsid w:val="00343FC3"/>
    <w:rsid w:val="003520EA"/>
    <w:rsid w:val="00352C28"/>
    <w:rsid w:val="00357D7D"/>
    <w:rsid w:val="00363CDA"/>
    <w:rsid w:val="00366BB1"/>
    <w:rsid w:val="00367772"/>
    <w:rsid w:val="00371875"/>
    <w:rsid w:val="00384BD4"/>
    <w:rsid w:val="00390214"/>
    <w:rsid w:val="003A3E02"/>
    <w:rsid w:val="003A495A"/>
    <w:rsid w:val="003B5082"/>
    <w:rsid w:val="003C18E0"/>
    <w:rsid w:val="003D046E"/>
    <w:rsid w:val="003D1860"/>
    <w:rsid w:val="003D5887"/>
    <w:rsid w:val="003D6BC4"/>
    <w:rsid w:val="003D7333"/>
    <w:rsid w:val="003E0B0F"/>
    <w:rsid w:val="003E1D2A"/>
    <w:rsid w:val="003E66B7"/>
    <w:rsid w:val="003E77FB"/>
    <w:rsid w:val="003F023E"/>
    <w:rsid w:val="003F3BCD"/>
    <w:rsid w:val="003F52C9"/>
    <w:rsid w:val="003F7B21"/>
    <w:rsid w:val="00400788"/>
    <w:rsid w:val="00402B66"/>
    <w:rsid w:val="004110D7"/>
    <w:rsid w:val="004145D8"/>
    <w:rsid w:val="0042651E"/>
    <w:rsid w:val="00426DC3"/>
    <w:rsid w:val="004325FF"/>
    <w:rsid w:val="00440FAA"/>
    <w:rsid w:val="004419F5"/>
    <w:rsid w:val="004501D6"/>
    <w:rsid w:val="00462747"/>
    <w:rsid w:val="00463844"/>
    <w:rsid w:val="00464381"/>
    <w:rsid w:val="004728F6"/>
    <w:rsid w:val="004733F4"/>
    <w:rsid w:val="00476E54"/>
    <w:rsid w:val="00482B98"/>
    <w:rsid w:val="004863E5"/>
    <w:rsid w:val="00486B48"/>
    <w:rsid w:val="004870A4"/>
    <w:rsid w:val="00490D20"/>
    <w:rsid w:val="0049366F"/>
    <w:rsid w:val="004A58D7"/>
    <w:rsid w:val="004B364A"/>
    <w:rsid w:val="004B73D4"/>
    <w:rsid w:val="004C0410"/>
    <w:rsid w:val="004C0C51"/>
    <w:rsid w:val="004C6113"/>
    <w:rsid w:val="004D076E"/>
    <w:rsid w:val="004D1DE6"/>
    <w:rsid w:val="004D7EA9"/>
    <w:rsid w:val="004E0678"/>
    <w:rsid w:val="004F0699"/>
    <w:rsid w:val="004F1C1C"/>
    <w:rsid w:val="004F6431"/>
    <w:rsid w:val="00507EDC"/>
    <w:rsid w:val="0051022F"/>
    <w:rsid w:val="00510A6E"/>
    <w:rsid w:val="00514C0A"/>
    <w:rsid w:val="00516F10"/>
    <w:rsid w:val="00517999"/>
    <w:rsid w:val="00521A4C"/>
    <w:rsid w:val="00521C62"/>
    <w:rsid w:val="00526514"/>
    <w:rsid w:val="00537A85"/>
    <w:rsid w:val="005468C6"/>
    <w:rsid w:val="005523CE"/>
    <w:rsid w:val="005564B5"/>
    <w:rsid w:val="005618C3"/>
    <w:rsid w:val="005670C3"/>
    <w:rsid w:val="00571B80"/>
    <w:rsid w:val="00571EC9"/>
    <w:rsid w:val="00573B82"/>
    <w:rsid w:val="00585F74"/>
    <w:rsid w:val="00592D0D"/>
    <w:rsid w:val="0059506A"/>
    <w:rsid w:val="00596096"/>
    <w:rsid w:val="005A24DA"/>
    <w:rsid w:val="005A3D5B"/>
    <w:rsid w:val="005B142C"/>
    <w:rsid w:val="005B244C"/>
    <w:rsid w:val="005B53AB"/>
    <w:rsid w:val="005B61C9"/>
    <w:rsid w:val="005B67CC"/>
    <w:rsid w:val="005C40AE"/>
    <w:rsid w:val="005D1BE2"/>
    <w:rsid w:val="005D305E"/>
    <w:rsid w:val="005E565C"/>
    <w:rsid w:val="005F6A37"/>
    <w:rsid w:val="00600528"/>
    <w:rsid w:val="00601AD5"/>
    <w:rsid w:val="00601ED7"/>
    <w:rsid w:val="00607350"/>
    <w:rsid w:val="00613576"/>
    <w:rsid w:val="00615C09"/>
    <w:rsid w:val="0061794E"/>
    <w:rsid w:val="00626D95"/>
    <w:rsid w:val="006270E4"/>
    <w:rsid w:val="0062791E"/>
    <w:rsid w:val="0063378F"/>
    <w:rsid w:val="0063403E"/>
    <w:rsid w:val="0063452F"/>
    <w:rsid w:val="00635153"/>
    <w:rsid w:val="00637051"/>
    <w:rsid w:val="006416BC"/>
    <w:rsid w:val="006507E5"/>
    <w:rsid w:val="006542D3"/>
    <w:rsid w:val="00654D3E"/>
    <w:rsid w:val="0065624A"/>
    <w:rsid w:val="00690CB4"/>
    <w:rsid w:val="006A13F5"/>
    <w:rsid w:val="006B33F4"/>
    <w:rsid w:val="006C0D08"/>
    <w:rsid w:val="006D680F"/>
    <w:rsid w:val="006D68E7"/>
    <w:rsid w:val="00701469"/>
    <w:rsid w:val="00706474"/>
    <w:rsid w:val="00707006"/>
    <w:rsid w:val="00707D5E"/>
    <w:rsid w:val="00710E4D"/>
    <w:rsid w:val="00714EAD"/>
    <w:rsid w:val="0072544A"/>
    <w:rsid w:val="00727A9C"/>
    <w:rsid w:val="00730469"/>
    <w:rsid w:val="0073564B"/>
    <w:rsid w:val="00745785"/>
    <w:rsid w:val="00746C4D"/>
    <w:rsid w:val="00747C02"/>
    <w:rsid w:val="00747C6E"/>
    <w:rsid w:val="0076123C"/>
    <w:rsid w:val="00762A6F"/>
    <w:rsid w:val="00763B51"/>
    <w:rsid w:val="00770FC4"/>
    <w:rsid w:val="00772DB2"/>
    <w:rsid w:val="00775140"/>
    <w:rsid w:val="00775C6A"/>
    <w:rsid w:val="00780F1D"/>
    <w:rsid w:val="0078355C"/>
    <w:rsid w:val="00784F81"/>
    <w:rsid w:val="007869D5"/>
    <w:rsid w:val="007904D2"/>
    <w:rsid w:val="007915DF"/>
    <w:rsid w:val="00796725"/>
    <w:rsid w:val="007A33E1"/>
    <w:rsid w:val="007B4DB8"/>
    <w:rsid w:val="007B549F"/>
    <w:rsid w:val="007C38BC"/>
    <w:rsid w:val="007C3C0D"/>
    <w:rsid w:val="007D090F"/>
    <w:rsid w:val="007D130B"/>
    <w:rsid w:val="007D1576"/>
    <w:rsid w:val="007D62D1"/>
    <w:rsid w:val="007E00ED"/>
    <w:rsid w:val="007F185E"/>
    <w:rsid w:val="007F6FF4"/>
    <w:rsid w:val="00800F61"/>
    <w:rsid w:val="00800FD5"/>
    <w:rsid w:val="00801DE1"/>
    <w:rsid w:val="0080796A"/>
    <w:rsid w:val="008204F2"/>
    <w:rsid w:val="008224A3"/>
    <w:rsid w:val="00824290"/>
    <w:rsid w:val="00830BA7"/>
    <w:rsid w:val="008323E6"/>
    <w:rsid w:val="0083402E"/>
    <w:rsid w:val="0084079F"/>
    <w:rsid w:val="0084326C"/>
    <w:rsid w:val="0084616A"/>
    <w:rsid w:val="008468E6"/>
    <w:rsid w:val="008550FE"/>
    <w:rsid w:val="00857EC1"/>
    <w:rsid w:val="008606AA"/>
    <w:rsid w:val="0086112B"/>
    <w:rsid w:val="0086427C"/>
    <w:rsid w:val="00867BB6"/>
    <w:rsid w:val="00867F48"/>
    <w:rsid w:val="0087093E"/>
    <w:rsid w:val="0087601D"/>
    <w:rsid w:val="008800E2"/>
    <w:rsid w:val="00890629"/>
    <w:rsid w:val="008A2544"/>
    <w:rsid w:val="008A28F0"/>
    <w:rsid w:val="008A4CF1"/>
    <w:rsid w:val="008B45D8"/>
    <w:rsid w:val="008C3398"/>
    <w:rsid w:val="008C7EE4"/>
    <w:rsid w:val="008D167B"/>
    <w:rsid w:val="008D244F"/>
    <w:rsid w:val="008D6481"/>
    <w:rsid w:val="008E255E"/>
    <w:rsid w:val="008E3C25"/>
    <w:rsid w:val="008E4339"/>
    <w:rsid w:val="008E61DB"/>
    <w:rsid w:val="008E6C0B"/>
    <w:rsid w:val="008E7B29"/>
    <w:rsid w:val="008F31AC"/>
    <w:rsid w:val="008F416F"/>
    <w:rsid w:val="008F44C4"/>
    <w:rsid w:val="00901C65"/>
    <w:rsid w:val="00902BC1"/>
    <w:rsid w:val="00906363"/>
    <w:rsid w:val="00910148"/>
    <w:rsid w:val="00917ECD"/>
    <w:rsid w:val="009208A1"/>
    <w:rsid w:val="00921B34"/>
    <w:rsid w:val="00923C25"/>
    <w:rsid w:val="009319B0"/>
    <w:rsid w:val="0093633B"/>
    <w:rsid w:val="00940417"/>
    <w:rsid w:val="00942852"/>
    <w:rsid w:val="0094298A"/>
    <w:rsid w:val="009446BA"/>
    <w:rsid w:val="0094787B"/>
    <w:rsid w:val="00947DE0"/>
    <w:rsid w:val="00956B6A"/>
    <w:rsid w:val="00960ED9"/>
    <w:rsid w:val="00966A9B"/>
    <w:rsid w:val="009778EE"/>
    <w:rsid w:val="00986742"/>
    <w:rsid w:val="00991B25"/>
    <w:rsid w:val="00997FD5"/>
    <w:rsid w:val="009B0E1B"/>
    <w:rsid w:val="009B26B0"/>
    <w:rsid w:val="009B2DF7"/>
    <w:rsid w:val="009B3F59"/>
    <w:rsid w:val="009B57C9"/>
    <w:rsid w:val="009B63AF"/>
    <w:rsid w:val="009B7294"/>
    <w:rsid w:val="009C1452"/>
    <w:rsid w:val="009C22C6"/>
    <w:rsid w:val="009D1E54"/>
    <w:rsid w:val="009D78A0"/>
    <w:rsid w:val="009E2621"/>
    <w:rsid w:val="009E7857"/>
    <w:rsid w:val="009F1682"/>
    <w:rsid w:val="009F21CF"/>
    <w:rsid w:val="009F35D1"/>
    <w:rsid w:val="00A01989"/>
    <w:rsid w:val="00A0206A"/>
    <w:rsid w:val="00A020DF"/>
    <w:rsid w:val="00A0488D"/>
    <w:rsid w:val="00A12EAC"/>
    <w:rsid w:val="00A12FB9"/>
    <w:rsid w:val="00A200A8"/>
    <w:rsid w:val="00A22B90"/>
    <w:rsid w:val="00A26FA4"/>
    <w:rsid w:val="00A300AC"/>
    <w:rsid w:val="00A341E0"/>
    <w:rsid w:val="00A4290A"/>
    <w:rsid w:val="00A55024"/>
    <w:rsid w:val="00A61932"/>
    <w:rsid w:val="00A63A1A"/>
    <w:rsid w:val="00A708D9"/>
    <w:rsid w:val="00A71169"/>
    <w:rsid w:val="00A71E30"/>
    <w:rsid w:val="00A7460A"/>
    <w:rsid w:val="00A774FF"/>
    <w:rsid w:val="00A85B35"/>
    <w:rsid w:val="00A868F6"/>
    <w:rsid w:val="00A93AD6"/>
    <w:rsid w:val="00A95250"/>
    <w:rsid w:val="00A95B59"/>
    <w:rsid w:val="00AA0311"/>
    <w:rsid w:val="00AA1DE8"/>
    <w:rsid w:val="00AA3FFE"/>
    <w:rsid w:val="00AB17C2"/>
    <w:rsid w:val="00AB2D22"/>
    <w:rsid w:val="00AC2B18"/>
    <w:rsid w:val="00AC2E78"/>
    <w:rsid w:val="00AD70F2"/>
    <w:rsid w:val="00AE2E5B"/>
    <w:rsid w:val="00AE5E00"/>
    <w:rsid w:val="00AE68F0"/>
    <w:rsid w:val="00AE73E4"/>
    <w:rsid w:val="00AF002B"/>
    <w:rsid w:val="00AF0A92"/>
    <w:rsid w:val="00B049DE"/>
    <w:rsid w:val="00B06852"/>
    <w:rsid w:val="00B131D5"/>
    <w:rsid w:val="00B16310"/>
    <w:rsid w:val="00B2047F"/>
    <w:rsid w:val="00B21B37"/>
    <w:rsid w:val="00B231FE"/>
    <w:rsid w:val="00B3070A"/>
    <w:rsid w:val="00B30C7F"/>
    <w:rsid w:val="00B41066"/>
    <w:rsid w:val="00B4620D"/>
    <w:rsid w:val="00B625D8"/>
    <w:rsid w:val="00B63D4B"/>
    <w:rsid w:val="00B666E9"/>
    <w:rsid w:val="00B72AB0"/>
    <w:rsid w:val="00B73B77"/>
    <w:rsid w:val="00B74854"/>
    <w:rsid w:val="00B75317"/>
    <w:rsid w:val="00B852E7"/>
    <w:rsid w:val="00B87F9F"/>
    <w:rsid w:val="00B915EE"/>
    <w:rsid w:val="00B93FFB"/>
    <w:rsid w:val="00B94823"/>
    <w:rsid w:val="00BA2AF4"/>
    <w:rsid w:val="00BB1271"/>
    <w:rsid w:val="00BC16BB"/>
    <w:rsid w:val="00BC3BF8"/>
    <w:rsid w:val="00BC52AD"/>
    <w:rsid w:val="00BD220F"/>
    <w:rsid w:val="00BD47AC"/>
    <w:rsid w:val="00BD5B52"/>
    <w:rsid w:val="00BD5C07"/>
    <w:rsid w:val="00BD6E5A"/>
    <w:rsid w:val="00BD7FE5"/>
    <w:rsid w:val="00BE190B"/>
    <w:rsid w:val="00BE56E4"/>
    <w:rsid w:val="00BE6538"/>
    <w:rsid w:val="00BE7E03"/>
    <w:rsid w:val="00BF2897"/>
    <w:rsid w:val="00BF490B"/>
    <w:rsid w:val="00BF5910"/>
    <w:rsid w:val="00C06D81"/>
    <w:rsid w:val="00C20DCE"/>
    <w:rsid w:val="00C23398"/>
    <w:rsid w:val="00C320EA"/>
    <w:rsid w:val="00C34C3D"/>
    <w:rsid w:val="00C36604"/>
    <w:rsid w:val="00C370AD"/>
    <w:rsid w:val="00C40482"/>
    <w:rsid w:val="00C423CD"/>
    <w:rsid w:val="00C47069"/>
    <w:rsid w:val="00C54B78"/>
    <w:rsid w:val="00C61FAA"/>
    <w:rsid w:val="00C62565"/>
    <w:rsid w:val="00C734A0"/>
    <w:rsid w:val="00C74031"/>
    <w:rsid w:val="00C75CFC"/>
    <w:rsid w:val="00C76E45"/>
    <w:rsid w:val="00C81130"/>
    <w:rsid w:val="00C85EBB"/>
    <w:rsid w:val="00C87B1F"/>
    <w:rsid w:val="00C93D58"/>
    <w:rsid w:val="00CA3143"/>
    <w:rsid w:val="00CA4415"/>
    <w:rsid w:val="00CB0891"/>
    <w:rsid w:val="00CB208B"/>
    <w:rsid w:val="00CB45B8"/>
    <w:rsid w:val="00CB6950"/>
    <w:rsid w:val="00CC15AF"/>
    <w:rsid w:val="00CC1A4D"/>
    <w:rsid w:val="00CC44F1"/>
    <w:rsid w:val="00CC6FC2"/>
    <w:rsid w:val="00CD2FC9"/>
    <w:rsid w:val="00CD3B45"/>
    <w:rsid w:val="00CD4E71"/>
    <w:rsid w:val="00CD58E6"/>
    <w:rsid w:val="00CE05FE"/>
    <w:rsid w:val="00CE09CA"/>
    <w:rsid w:val="00CE09DA"/>
    <w:rsid w:val="00CE50F4"/>
    <w:rsid w:val="00CF3A88"/>
    <w:rsid w:val="00CF7F33"/>
    <w:rsid w:val="00D02247"/>
    <w:rsid w:val="00D14BB8"/>
    <w:rsid w:val="00D15B0A"/>
    <w:rsid w:val="00D17C60"/>
    <w:rsid w:val="00D2245B"/>
    <w:rsid w:val="00D37A2F"/>
    <w:rsid w:val="00D4030D"/>
    <w:rsid w:val="00D43F6F"/>
    <w:rsid w:val="00D46B83"/>
    <w:rsid w:val="00D5248E"/>
    <w:rsid w:val="00D53BE8"/>
    <w:rsid w:val="00D5665B"/>
    <w:rsid w:val="00D60653"/>
    <w:rsid w:val="00D60B69"/>
    <w:rsid w:val="00D62DB0"/>
    <w:rsid w:val="00D70F14"/>
    <w:rsid w:val="00D7796A"/>
    <w:rsid w:val="00D817F6"/>
    <w:rsid w:val="00D922A2"/>
    <w:rsid w:val="00D936E6"/>
    <w:rsid w:val="00D973BE"/>
    <w:rsid w:val="00DA0FFC"/>
    <w:rsid w:val="00DA19E3"/>
    <w:rsid w:val="00DA1E6A"/>
    <w:rsid w:val="00DA3275"/>
    <w:rsid w:val="00DA3C47"/>
    <w:rsid w:val="00DA5BCA"/>
    <w:rsid w:val="00DA7E7C"/>
    <w:rsid w:val="00DB0530"/>
    <w:rsid w:val="00DB6B51"/>
    <w:rsid w:val="00DB6BFC"/>
    <w:rsid w:val="00DB6CD6"/>
    <w:rsid w:val="00DB75AA"/>
    <w:rsid w:val="00DC207D"/>
    <w:rsid w:val="00DC24C3"/>
    <w:rsid w:val="00DC2923"/>
    <w:rsid w:val="00DC4506"/>
    <w:rsid w:val="00DD3EAF"/>
    <w:rsid w:val="00DD4246"/>
    <w:rsid w:val="00DD7FD3"/>
    <w:rsid w:val="00DE58B9"/>
    <w:rsid w:val="00DE79B3"/>
    <w:rsid w:val="00DF20FD"/>
    <w:rsid w:val="00DF317B"/>
    <w:rsid w:val="00DF330F"/>
    <w:rsid w:val="00E01DFB"/>
    <w:rsid w:val="00E01EF4"/>
    <w:rsid w:val="00E1134C"/>
    <w:rsid w:val="00E21BD2"/>
    <w:rsid w:val="00E34737"/>
    <w:rsid w:val="00E40E2F"/>
    <w:rsid w:val="00E413BD"/>
    <w:rsid w:val="00E43C6B"/>
    <w:rsid w:val="00E5002E"/>
    <w:rsid w:val="00E53B62"/>
    <w:rsid w:val="00E5582E"/>
    <w:rsid w:val="00E637D5"/>
    <w:rsid w:val="00E648CF"/>
    <w:rsid w:val="00E66A14"/>
    <w:rsid w:val="00E70EA9"/>
    <w:rsid w:val="00E75BE3"/>
    <w:rsid w:val="00E80C12"/>
    <w:rsid w:val="00E81632"/>
    <w:rsid w:val="00E83AD7"/>
    <w:rsid w:val="00E86573"/>
    <w:rsid w:val="00E86A0A"/>
    <w:rsid w:val="00E8756A"/>
    <w:rsid w:val="00E95615"/>
    <w:rsid w:val="00E97677"/>
    <w:rsid w:val="00EA3DF0"/>
    <w:rsid w:val="00EA66C2"/>
    <w:rsid w:val="00EB2BB9"/>
    <w:rsid w:val="00EB3E5E"/>
    <w:rsid w:val="00EB7CCF"/>
    <w:rsid w:val="00EC08AD"/>
    <w:rsid w:val="00EC41E7"/>
    <w:rsid w:val="00EC6992"/>
    <w:rsid w:val="00EE0848"/>
    <w:rsid w:val="00EE3DEE"/>
    <w:rsid w:val="00EE506C"/>
    <w:rsid w:val="00F00E59"/>
    <w:rsid w:val="00F0168B"/>
    <w:rsid w:val="00F10862"/>
    <w:rsid w:val="00F145BB"/>
    <w:rsid w:val="00F16BB4"/>
    <w:rsid w:val="00F27E8E"/>
    <w:rsid w:val="00F31987"/>
    <w:rsid w:val="00F33E53"/>
    <w:rsid w:val="00F34620"/>
    <w:rsid w:val="00F36831"/>
    <w:rsid w:val="00F40174"/>
    <w:rsid w:val="00F43BCF"/>
    <w:rsid w:val="00F52C1B"/>
    <w:rsid w:val="00F53389"/>
    <w:rsid w:val="00F53F11"/>
    <w:rsid w:val="00F71056"/>
    <w:rsid w:val="00F72F43"/>
    <w:rsid w:val="00F7630C"/>
    <w:rsid w:val="00F814C0"/>
    <w:rsid w:val="00F90984"/>
    <w:rsid w:val="00F956A7"/>
    <w:rsid w:val="00FA0444"/>
    <w:rsid w:val="00FA0E5E"/>
    <w:rsid w:val="00FA163F"/>
    <w:rsid w:val="00FA264A"/>
    <w:rsid w:val="00FA33B9"/>
    <w:rsid w:val="00FA5D81"/>
    <w:rsid w:val="00FA71BE"/>
    <w:rsid w:val="00FB414E"/>
    <w:rsid w:val="00FC582C"/>
    <w:rsid w:val="00FD3E34"/>
    <w:rsid w:val="00FD554D"/>
    <w:rsid w:val="00FE3873"/>
    <w:rsid w:val="00FE6269"/>
    <w:rsid w:val="00FE69CE"/>
    <w:rsid w:val="00FF1D21"/>
    <w:rsid w:val="00FF2537"/>
    <w:rsid w:val="00FF303A"/>
    <w:rsid w:val="00FF6DE0"/>
    <w:rsid w:val="00FF77C9"/>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7538"/>
  <w15:chartTrackingRefBased/>
  <w15:docId w15:val="{5F68DBC6-3817-4125-9772-14489028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BB1"/>
    <w:rPr>
      <w:color w:val="0000FF"/>
      <w:u w:val="single"/>
    </w:rPr>
  </w:style>
  <w:style w:type="paragraph" w:styleId="z-TopofForm">
    <w:name w:val="HTML Top of Form"/>
    <w:basedOn w:val="Normal"/>
    <w:next w:val="Normal"/>
    <w:link w:val="z-TopofFormChar"/>
    <w:hidden/>
    <w:uiPriority w:val="99"/>
    <w:semiHidden/>
    <w:unhideWhenUsed/>
    <w:rsid w:val="00366BB1"/>
    <w:pPr>
      <w:pBdr>
        <w:bottom w:val="single" w:sz="6" w:space="1" w:color="auto"/>
      </w:pBdr>
      <w:spacing w:after="0" w:line="240" w:lineRule="auto"/>
      <w:jc w:val="center"/>
    </w:pPr>
    <w:rPr>
      <w:rFonts w:ascii="Arial" w:eastAsia="Times New Roman" w:hAnsi="Arial" w:cs="Arial"/>
      <w:vanish/>
      <w:sz w:val="16"/>
      <w:szCs w:val="16"/>
      <w:lang w:eastAsia="mn-MN"/>
    </w:rPr>
  </w:style>
  <w:style w:type="character" w:customStyle="1" w:styleId="z-TopofFormChar">
    <w:name w:val="z-Top of Form Char"/>
    <w:basedOn w:val="DefaultParagraphFont"/>
    <w:link w:val="z-TopofForm"/>
    <w:uiPriority w:val="99"/>
    <w:semiHidden/>
    <w:rsid w:val="00366BB1"/>
    <w:rPr>
      <w:rFonts w:ascii="Arial" w:eastAsia="Times New Roman" w:hAnsi="Arial" w:cs="Arial"/>
      <w:vanish/>
      <w:sz w:val="16"/>
      <w:szCs w:val="16"/>
      <w:lang w:eastAsia="mn-MN"/>
    </w:rPr>
  </w:style>
  <w:style w:type="paragraph" w:styleId="z-BottomofForm">
    <w:name w:val="HTML Bottom of Form"/>
    <w:basedOn w:val="Normal"/>
    <w:next w:val="Normal"/>
    <w:link w:val="z-BottomofFormChar"/>
    <w:hidden/>
    <w:uiPriority w:val="99"/>
    <w:semiHidden/>
    <w:unhideWhenUsed/>
    <w:rsid w:val="00366BB1"/>
    <w:pPr>
      <w:pBdr>
        <w:top w:val="single" w:sz="6" w:space="1" w:color="auto"/>
      </w:pBdr>
      <w:spacing w:after="0" w:line="240" w:lineRule="auto"/>
      <w:jc w:val="center"/>
    </w:pPr>
    <w:rPr>
      <w:rFonts w:ascii="Arial" w:eastAsia="Times New Roman" w:hAnsi="Arial" w:cs="Arial"/>
      <w:vanish/>
      <w:sz w:val="16"/>
      <w:szCs w:val="16"/>
      <w:lang w:eastAsia="mn-MN"/>
    </w:rPr>
  </w:style>
  <w:style w:type="character" w:customStyle="1" w:styleId="z-BottomofFormChar">
    <w:name w:val="z-Bottom of Form Char"/>
    <w:basedOn w:val="DefaultParagraphFont"/>
    <w:link w:val="z-BottomofForm"/>
    <w:uiPriority w:val="99"/>
    <w:semiHidden/>
    <w:rsid w:val="00366BB1"/>
    <w:rPr>
      <w:rFonts w:ascii="Arial" w:eastAsia="Times New Roman" w:hAnsi="Arial" w:cs="Arial"/>
      <w:vanish/>
      <w:sz w:val="16"/>
      <w:szCs w:val="16"/>
      <w:lang w:eastAsia="mn-MN"/>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9B0E1B"/>
    <w:pPr>
      <w:ind w:left="720"/>
      <w:contextualSpacing/>
    </w:pPr>
    <w:rPr>
      <w:lang w:val="en-US"/>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9B0E1B"/>
    <w:rPr>
      <w:lang w:val="en-US"/>
    </w:rPr>
  </w:style>
  <w:style w:type="character" w:styleId="UnresolvedMention">
    <w:name w:val="Unresolved Mention"/>
    <w:basedOn w:val="DefaultParagraphFont"/>
    <w:uiPriority w:val="99"/>
    <w:semiHidden/>
    <w:unhideWhenUsed/>
    <w:rsid w:val="001D0CD3"/>
    <w:rPr>
      <w:color w:val="605E5C"/>
      <w:shd w:val="clear" w:color="auto" w:fill="E1DFDD"/>
    </w:rPr>
  </w:style>
  <w:style w:type="paragraph" w:styleId="BalloonText">
    <w:name w:val="Balloon Text"/>
    <w:basedOn w:val="Normal"/>
    <w:link w:val="BalloonTextChar"/>
    <w:uiPriority w:val="99"/>
    <w:semiHidden/>
    <w:unhideWhenUsed/>
    <w:rsid w:val="00BF4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0B"/>
    <w:rPr>
      <w:rFonts w:ascii="Segoe UI" w:hAnsi="Segoe UI" w:cs="Segoe UI"/>
      <w:sz w:val="18"/>
      <w:szCs w:val="18"/>
    </w:rPr>
  </w:style>
  <w:style w:type="table" w:styleId="TableGrid">
    <w:name w:val="Table Grid"/>
    <w:basedOn w:val="TableNormal"/>
    <w:uiPriority w:val="39"/>
    <w:rsid w:val="00BF490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366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40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E2F"/>
  </w:style>
  <w:style w:type="paragraph" w:styleId="Footer">
    <w:name w:val="footer"/>
    <w:basedOn w:val="Normal"/>
    <w:link w:val="FooterChar"/>
    <w:uiPriority w:val="99"/>
    <w:unhideWhenUsed/>
    <w:rsid w:val="00E40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652286">
      <w:bodyDiv w:val="1"/>
      <w:marLeft w:val="0"/>
      <w:marRight w:val="0"/>
      <w:marTop w:val="0"/>
      <w:marBottom w:val="0"/>
      <w:divBdr>
        <w:top w:val="none" w:sz="0" w:space="0" w:color="auto"/>
        <w:left w:val="none" w:sz="0" w:space="0" w:color="auto"/>
        <w:bottom w:val="none" w:sz="0" w:space="0" w:color="auto"/>
        <w:right w:val="none" w:sz="0" w:space="0" w:color="auto"/>
      </w:divBdr>
    </w:div>
    <w:div w:id="1699744966">
      <w:bodyDiv w:val="1"/>
      <w:marLeft w:val="0"/>
      <w:marRight w:val="0"/>
      <w:marTop w:val="0"/>
      <w:marBottom w:val="0"/>
      <w:divBdr>
        <w:top w:val="none" w:sz="0" w:space="0" w:color="auto"/>
        <w:left w:val="none" w:sz="0" w:space="0" w:color="auto"/>
        <w:bottom w:val="none" w:sz="0" w:space="0" w:color="auto"/>
        <w:right w:val="none" w:sz="0" w:space="0" w:color="auto"/>
      </w:divBdr>
    </w:div>
    <w:div w:id="1759332025">
      <w:bodyDiv w:val="1"/>
      <w:marLeft w:val="0"/>
      <w:marRight w:val="0"/>
      <w:marTop w:val="0"/>
      <w:marBottom w:val="0"/>
      <w:divBdr>
        <w:top w:val="none" w:sz="0" w:space="0" w:color="auto"/>
        <w:left w:val="none" w:sz="0" w:space="0" w:color="auto"/>
        <w:bottom w:val="none" w:sz="0" w:space="0" w:color="auto"/>
        <w:right w:val="none" w:sz="0" w:space="0" w:color="auto"/>
      </w:divBdr>
      <w:divsChild>
        <w:div w:id="222185487">
          <w:marLeft w:val="0"/>
          <w:marRight w:val="0"/>
          <w:marTop w:val="0"/>
          <w:marBottom w:val="0"/>
          <w:divBdr>
            <w:top w:val="none" w:sz="0" w:space="0" w:color="auto"/>
            <w:left w:val="none" w:sz="0" w:space="0" w:color="auto"/>
            <w:bottom w:val="none" w:sz="0" w:space="0" w:color="auto"/>
            <w:right w:val="none" w:sz="0" w:space="0" w:color="auto"/>
          </w:divBdr>
          <w:divsChild>
            <w:div w:id="1917665752">
              <w:marLeft w:val="0"/>
              <w:marRight w:val="0"/>
              <w:marTop w:val="0"/>
              <w:marBottom w:val="0"/>
              <w:divBdr>
                <w:top w:val="none" w:sz="0" w:space="0" w:color="auto"/>
                <w:left w:val="none" w:sz="0" w:space="0" w:color="auto"/>
                <w:bottom w:val="none" w:sz="0" w:space="0" w:color="auto"/>
                <w:right w:val="none" w:sz="0" w:space="0" w:color="auto"/>
              </w:divBdr>
              <w:divsChild>
                <w:div w:id="963465158">
                  <w:marLeft w:val="0"/>
                  <w:marRight w:val="0"/>
                  <w:marTop w:val="0"/>
                  <w:marBottom w:val="0"/>
                  <w:divBdr>
                    <w:top w:val="none" w:sz="0" w:space="0" w:color="auto"/>
                    <w:left w:val="none" w:sz="0" w:space="0" w:color="auto"/>
                    <w:bottom w:val="none" w:sz="0" w:space="0" w:color="auto"/>
                    <w:right w:val="none" w:sz="0" w:space="0" w:color="auto"/>
                  </w:divBdr>
                  <w:divsChild>
                    <w:div w:id="840898059">
                      <w:marLeft w:val="0"/>
                      <w:marRight w:val="0"/>
                      <w:marTop w:val="0"/>
                      <w:marBottom w:val="0"/>
                      <w:divBdr>
                        <w:top w:val="none" w:sz="0" w:space="0" w:color="auto"/>
                        <w:left w:val="none" w:sz="0" w:space="0" w:color="auto"/>
                        <w:bottom w:val="none" w:sz="0" w:space="0" w:color="auto"/>
                        <w:right w:val="none" w:sz="0" w:space="0" w:color="auto"/>
                      </w:divBdr>
                      <w:divsChild>
                        <w:div w:id="11383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723901">
          <w:marLeft w:val="0"/>
          <w:marRight w:val="0"/>
          <w:marTop w:val="0"/>
          <w:marBottom w:val="0"/>
          <w:divBdr>
            <w:top w:val="none" w:sz="0" w:space="0" w:color="auto"/>
            <w:left w:val="none" w:sz="0" w:space="0" w:color="auto"/>
            <w:bottom w:val="none" w:sz="0" w:space="0" w:color="auto"/>
            <w:right w:val="none" w:sz="0" w:space="0" w:color="auto"/>
          </w:divBdr>
          <w:divsChild>
            <w:div w:id="74127680">
              <w:marLeft w:val="0"/>
              <w:marRight w:val="0"/>
              <w:marTop w:val="0"/>
              <w:marBottom w:val="0"/>
              <w:divBdr>
                <w:top w:val="none" w:sz="0" w:space="0" w:color="auto"/>
                <w:left w:val="none" w:sz="0" w:space="0" w:color="auto"/>
                <w:bottom w:val="none" w:sz="0" w:space="0" w:color="auto"/>
                <w:right w:val="none" w:sz="0" w:space="0" w:color="auto"/>
              </w:divBdr>
              <w:divsChild>
                <w:div w:id="2074963222">
                  <w:marLeft w:val="0"/>
                  <w:marRight w:val="0"/>
                  <w:marTop w:val="0"/>
                  <w:marBottom w:val="0"/>
                  <w:divBdr>
                    <w:top w:val="none" w:sz="0" w:space="0" w:color="auto"/>
                    <w:left w:val="none" w:sz="0" w:space="0" w:color="auto"/>
                    <w:bottom w:val="none" w:sz="0" w:space="0" w:color="auto"/>
                    <w:right w:val="none" w:sz="0" w:space="0" w:color="auto"/>
                  </w:divBdr>
                  <w:divsChild>
                    <w:div w:id="20190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13245">
          <w:marLeft w:val="0"/>
          <w:marRight w:val="0"/>
          <w:marTop w:val="0"/>
          <w:marBottom w:val="0"/>
          <w:divBdr>
            <w:top w:val="none" w:sz="0" w:space="0" w:color="auto"/>
            <w:left w:val="none" w:sz="0" w:space="0" w:color="auto"/>
            <w:bottom w:val="none" w:sz="0" w:space="0" w:color="auto"/>
            <w:right w:val="none" w:sz="0" w:space="0" w:color="auto"/>
          </w:divBdr>
        </w:div>
        <w:div w:id="1213805797">
          <w:marLeft w:val="0"/>
          <w:marRight w:val="0"/>
          <w:marTop w:val="0"/>
          <w:marBottom w:val="0"/>
          <w:divBdr>
            <w:top w:val="none" w:sz="0" w:space="0" w:color="auto"/>
            <w:left w:val="none" w:sz="0" w:space="0" w:color="auto"/>
            <w:bottom w:val="none" w:sz="0" w:space="0" w:color="auto"/>
            <w:right w:val="none" w:sz="0" w:space="0" w:color="auto"/>
          </w:divBdr>
          <w:divsChild>
            <w:div w:id="1451780272">
              <w:marLeft w:val="0"/>
              <w:marRight w:val="0"/>
              <w:marTop w:val="0"/>
              <w:marBottom w:val="0"/>
              <w:divBdr>
                <w:top w:val="none" w:sz="0" w:space="0" w:color="auto"/>
                <w:left w:val="none" w:sz="0" w:space="0" w:color="auto"/>
                <w:bottom w:val="none" w:sz="0" w:space="0" w:color="auto"/>
                <w:right w:val="none" w:sz="0" w:space="0" w:color="auto"/>
              </w:divBdr>
              <w:divsChild>
                <w:div w:id="171335655">
                  <w:marLeft w:val="0"/>
                  <w:marRight w:val="0"/>
                  <w:marTop w:val="0"/>
                  <w:marBottom w:val="0"/>
                  <w:divBdr>
                    <w:top w:val="none" w:sz="0" w:space="0" w:color="auto"/>
                    <w:left w:val="none" w:sz="0" w:space="0" w:color="auto"/>
                    <w:bottom w:val="none" w:sz="0" w:space="0" w:color="auto"/>
                    <w:right w:val="none" w:sz="0" w:space="0" w:color="auto"/>
                  </w:divBdr>
                  <w:divsChild>
                    <w:div w:id="663817684">
                      <w:marLeft w:val="0"/>
                      <w:marRight w:val="0"/>
                      <w:marTop w:val="0"/>
                      <w:marBottom w:val="0"/>
                      <w:divBdr>
                        <w:top w:val="none" w:sz="0" w:space="0" w:color="auto"/>
                        <w:left w:val="none" w:sz="0" w:space="0" w:color="auto"/>
                        <w:bottom w:val="none" w:sz="0" w:space="0" w:color="auto"/>
                        <w:right w:val="none" w:sz="0" w:space="0" w:color="auto"/>
                      </w:divBdr>
                      <w:divsChild>
                        <w:div w:id="8408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088060">
          <w:marLeft w:val="0"/>
          <w:marRight w:val="0"/>
          <w:marTop w:val="0"/>
          <w:marBottom w:val="0"/>
          <w:divBdr>
            <w:top w:val="none" w:sz="0" w:space="0" w:color="auto"/>
            <w:left w:val="none" w:sz="0" w:space="0" w:color="auto"/>
            <w:bottom w:val="none" w:sz="0" w:space="0" w:color="auto"/>
            <w:right w:val="none" w:sz="0" w:space="0" w:color="auto"/>
          </w:divBdr>
          <w:divsChild>
            <w:div w:id="641930757">
              <w:marLeft w:val="0"/>
              <w:marRight w:val="0"/>
              <w:marTop w:val="0"/>
              <w:marBottom w:val="0"/>
              <w:divBdr>
                <w:top w:val="none" w:sz="0" w:space="0" w:color="auto"/>
                <w:left w:val="none" w:sz="0" w:space="0" w:color="auto"/>
                <w:bottom w:val="none" w:sz="0" w:space="0" w:color="auto"/>
                <w:right w:val="none" w:sz="0" w:space="0" w:color="auto"/>
              </w:divBdr>
              <w:divsChild>
                <w:div w:id="502669956">
                  <w:marLeft w:val="0"/>
                  <w:marRight w:val="0"/>
                  <w:marTop w:val="0"/>
                  <w:marBottom w:val="0"/>
                  <w:divBdr>
                    <w:top w:val="none" w:sz="0" w:space="0" w:color="auto"/>
                    <w:left w:val="none" w:sz="0" w:space="0" w:color="auto"/>
                    <w:bottom w:val="none" w:sz="0" w:space="0" w:color="auto"/>
                    <w:right w:val="none" w:sz="0" w:space="0" w:color="auto"/>
                  </w:divBdr>
                  <w:divsChild>
                    <w:div w:id="1310479330">
                      <w:marLeft w:val="0"/>
                      <w:marRight w:val="0"/>
                      <w:marTop w:val="0"/>
                      <w:marBottom w:val="0"/>
                      <w:divBdr>
                        <w:top w:val="none" w:sz="0" w:space="0" w:color="auto"/>
                        <w:left w:val="none" w:sz="0" w:space="0" w:color="auto"/>
                        <w:bottom w:val="none" w:sz="0" w:space="0" w:color="auto"/>
                        <w:right w:val="none" w:sz="0" w:space="0" w:color="auto"/>
                      </w:divBdr>
                      <w:divsChild>
                        <w:div w:id="2072263222">
                          <w:marLeft w:val="0"/>
                          <w:marRight w:val="0"/>
                          <w:marTop w:val="0"/>
                          <w:marBottom w:val="0"/>
                          <w:divBdr>
                            <w:top w:val="none" w:sz="0" w:space="0" w:color="auto"/>
                            <w:left w:val="none" w:sz="0" w:space="0" w:color="auto"/>
                            <w:bottom w:val="none" w:sz="0" w:space="0" w:color="auto"/>
                            <w:right w:val="none" w:sz="0" w:space="0" w:color="auto"/>
                          </w:divBdr>
                          <w:divsChild>
                            <w:div w:id="98234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330422">
          <w:marLeft w:val="0"/>
          <w:marRight w:val="0"/>
          <w:marTop w:val="0"/>
          <w:marBottom w:val="0"/>
          <w:divBdr>
            <w:top w:val="none" w:sz="0" w:space="0" w:color="auto"/>
            <w:left w:val="none" w:sz="0" w:space="0" w:color="auto"/>
            <w:bottom w:val="none" w:sz="0" w:space="0" w:color="auto"/>
            <w:right w:val="none" w:sz="0" w:space="0" w:color="auto"/>
          </w:divBdr>
          <w:divsChild>
            <w:div w:id="15467213">
              <w:marLeft w:val="0"/>
              <w:marRight w:val="0"/>
              <w:marTop w:val="0"/>
              <w:marBottom w:val="0"/>
              <w:divBdr>
                <w:top w:val="none" w:sz="0" w:space="0" w:color="auto"/>
                <w:left w:val="none" w:sz="0" w:space="0" w:color="auto"/>
                <w:bottom w:val="none" w:sz="0" w:space="0" w:color="auto"/>
                <w:right w:val="none" w:sz="0" w:space="0" w:color="auto"/>
              </w:divBdr>
              <w:divsChild>
                <w:div w:id="979068955">
                  <w:marLeft w:val="0"/>
                  <w:marRight w:val="0"/>
                  <w:marTop w:val="0"/>
                  <w:marBottom w:val="0"/>
                  <w:divBdr>
                    <w:top w:val="none" w:sz="0" w:space="0" w:color="auto"/>
                    <w:left w:val="none" w:sz="0" w:space="0" w:color="auto"/>
                    <w:bottom w:val="none" w:sz="0" w:space="0" w:color="auto"/>
                    <w:right w:val="none" w:sz="0" w:space="0" w:color="auto"/>
                  </w:divBdr>
                  <w:divsChild>
                    <w:div w:id="868756261">
                      <w:marLeft w:val="0"/>
                      <w:marRight w:val="0"/>
                      <w:marTop w:val="0"/>
                      <w:marBottom w:val="0"/>
                      <w:divBdr>
                        <w:top w:val="none" w:sz="0" w:space="0" w:color="auto"/>
                        <w:left w:val="none" w:sz="0" w:space="0" w:color="auto"/>
                        <w:bottom w:val="none" w:sz="0" w:space="0" w:color="auto"/>
                        <w:right w:val="none" w:sz="0" w:space="0" w:color="auto"/>
                      </w:divBdr>
                      <w:divsChild>
                        <w:div w:id="235476011">
                          <w:marLeft w:val="0"/>
                          <w:marRight w:val="0"/>
                          <w:marTop w:val="0"/>
                          <w:marBottom w:val="0"/>
                          <w:divBdr>
                            <w:top w:val="none" w:sz="0" w:space="0" w:color="auto"/>
                            <w:left w:val="none" w:sz="0" w:space="0" w:color="auto"/>
                            <w:bottom w:val="none" w:sz="0" w:space="0" w:color="auto"/>
                            <w:right w:val="none" w:sz="0" w:space="0" w:color="auto"/>
                          </w:divBdr>
                          <w:divsChild>
                            <w:div w:id="1192690989">
                              <w:marLeft w:val="0"/>
                              <w:marRight w:val="0"/>
                              <w:marTop w:val="0"/>
                              <w:marBottom w:val="0"/>
                              <w:divBdr>
                                <w:top w:val="none" w:sz="0" w:space="0" w:color="auto"/>
                                <w:left w:val="none" w:sz="0" w:space="0" w:color="auto"/>
                                <w:bottom w:val="none" w:sz="0" w:space="0" w:color="auto"/>
                                <w:right w:val="none" w:sz="0" w:space="0" w:color="auto"/>
                              </w:divBdr>
                              <w:divsChild>
                                <w:div w:id="1394235647">
                                  <w:marLeft w:val="0"/>
                                  <w:marRight w:val="0"/>
                                  <w:marTop w:val="0"/>
                                  <w:marBottom w:val="0"/>
                                  <w:divBdr>
                                    <w:top w:val="none" w:sz="0" w:space="0" w:color="auto"/>
                                    <w:left w:val="none" w:sz="0" w:space="0" w:color="auto"/>
                                    <w:bottom w:val="none" w:sz="0" w:space="0" w:color="auto"/>
                                    <w:right w:val="none" w:sz="0" w:space="0" w:color="auto"/>
                                  </w:divBdr>
                                  <w:divsChild>
                                    <w:div w:id="1710181056">
                                      <w:marLeft w:val="0"/>
                                      <w:marRight w:val="0"/>
                                      <w:marTop w:val="0"/>
                                      <w:marBottom w:val="0"/>
                                      <w:divBdr>
                                        <w:top w:val="none" w:sz="0" w:space="0" w:color="auto"/>
                                        <w:left w:val="none" w:sz="0" w:space="0" w:color="auto"/>
                                        <w:bottom w:val="none" w:sz="0" w:space="0" w:color="auto"/>
                                        <w:right w:val="none" w:sz="0" w:space="0" w:color="auto"/>
                                      </w:divBdr>
                                      <w:divsChild>
                                        <w:div w:id="15842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3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6</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Ariunaa Ganbat</cp:lastModifiedBy>
  <cp:revision>145</cp:revision>
  <cp:lastPrinted>2020-12-18T07:45:00Z</cp:lastPrinted>
  <dcterms:created xsi:type="dcterms:W3CDTF">2020-08-12T09:45:00Z</dcterms:created>
  <dcterms:modified xsi:type="dcterms:W3CDTF">2020-12-28T08:26:00Z</dcterms:modified>
</cp:coreProperties>
</file>