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7BCC" w14:textId="593538BA" w:rsidR="004471FA" w:rsidRPr="004471FA" w:rsidRDefault="004471FA" w:rsidP="004471FA">
      <w:pPr>
        <w:jc w:val="right"/>
        <w:rPr>
          <w:sz w:val="22"/>
          <w:szCs w:val="22"/>
        </w:rPr>
      </w:pPr>
      <w:bookmarkStart w:id="0" w:name="_GoBack"/>
      <w:bookmarkEnd w:id="0"/>
      <w:r>
        <w:rPr>
          <w:sz w:val="22"/>
          <w:szCs w:val="22"/>
        </w:rPr>
        <w:t>ANNEX 1</w:t>
      </w:r>
    </w:p>
    <w:p w14:paraId="7DE31F00" w14:textId="77777777" w:rsidR="004471FA" w:rsidRDefault="004471FA" w:rsidP="004471FA">
      <w:pPr>
        <w:jc w:val="center"/>
        <w:rPr>
          <w:sz w:val="22"/>
          <w:szCs w:val="22"/>
          <w:lang w:val="mn-MN"/>
        </w:rPr>
      </w:pPr>
    </w:p>
    <w:p w14:paraId="75C7C4EF" w14:textId="080D3627" w:rsidR="004471FA" w:rsidRPr="00D46EF3" w:rsidRDefault="004471FA" w:rsidP="004471FA">
      <w:pPr>
        <w:jc w:val="center"/>
        <w:rPr>
          <w:sz w:val="22"/>
          <w:szCs w:val="22"/>
          <w:lang w:val="mn-MN"/>
        </w:rPr>
      </w:pPr>
      <w:r w:rsidRPr="00D46EF3">
        <w:rPr>
          <w:b/>
          <w:bCs/>
          <w:sz w:val="22"/>
          <w:szCs w:val="22"/>
          <w:lang w:val="mn-MN"/>
        </w:rPr>
        <w:t>STRENGTHENING GOVERNANCE IN MONGOLIA PROJECT</w:t>
      </w:r>
    </w:p>
    <w:p w14:paraId="0BDAF4FF" w14:textId="77777777" w:rsidR="004471FA" w:rsidRPr="00D46EF3" w:rsidRDefault="004471FA" w:rsidP="004471FA">
      <w:pPr>
        <w:jc w:val="center"/>
        <w:rPr>
          <w:b/>
          <w:bCs/>
          <w:color w:val="FF0000"/>
          <w:sz w:val="22"/>
          <w:szCs w:val="22"/>
          <w:lang w:val="mn-MN" w:eastAsia="x-none"/>
        </w:rPr>
      </w:pPr>
      <w:r w:rsidRPr="00D46EF3">
        <w:rPr>
          <w:b/>
          <w:bCs/>
          <w:sz w:val="22"/>
          <w:szCs w:val="22"/>
          <w:lang w:val="mn-MN" w:eastAsia="x-none"/>
        </w:rPr>
        <w:t xml:space="preserve">National Shopping - Invitation to Quote (ITQ) </w:t>
      </w:r>
    </w:p>
    <w:p w14:paraId="69F59681" w14:textId="77777777" w:rsidR="004471FA" w:rsidRPr="00D46EF3" w:rsidRDefault="004471FA" w:rsidP="004471FA">
      <w:pPr>
        <w:spacing w:line="240" w:lineRule="atLeast"/>
        <w:jc w:val="center"/>
        <w:rPr>
          <w:b/>
          <w:sz w:val="22"/>
          <w:szCs w:val="22"/>
          <w:u w:val="single"/>
          <w:lang w:val="mn-MN"/>
        </w:rPr>
      </w:pPr>
    </w:p>
    <w:p w14:paraId="0D9BB1BA" w14:textId="77777777" w:rsidR="004471FA" w:rsidRPr="00D46EF3" w:rsidRDefault="004471FA" w:rsidP="004471FA">
      <w:pPr>
        <w:spacing w:line="240" w:lineRule="atLeast"/>
        <w:jc w:val="center"/>
        <w:rPr>
          <w:b/>
          <w:sz w:val="22"/>
          <w:szCs w:val="22"/>
          <w:lang w:val="mn-MN"/>
        </w:rPr>
      </w:pPr>
      <w:r w:rsidRPr="00D46EF3">
        <w:rPr>
          <w:b/>
          <w:sz w:val="22"/>
          <w:szCs w:val="22"/>
          <w:lang w:val="mn-MN"/>
        </w:rPr>
        <w:t>Terms and Conditions of Supply</w:t>
      </w:r>
    </w:p>
    <w:p w14:paraId="28FDDE66" w14:textId="77777777" w:rsidR="004471FA" w:rsidRPr="00D46EF3" w:rsidRDefault="004471FA" w:rsidP="004471FA">
      <w:pPr>
        <w:spacing w:line="240" w:lineRule="atLeast"/>
        <w:jc w:val="center"/>
        <w:rPr>
          <w:b/>
          <w:sz w:val="22"/>
          <w:szCs w:val="22"/>
          <w:lang w:val="mn-MN"/>
        </w:rPr>
      </w:pPr>
    </w:p>
    <w:p w14:paraId="2E49C0E1" w14:textId="77777777" w:rsidR="004471FA" w:rsidRPr="00D46EF3" w:rsidRDefault="004471FA" w:rsidP="004471FA">
      <w:pPr>
        <w:spacing w:line="240" w:lineRule="atLeast"/>
        <w:jc w:val="center"/>
        <w:rPr>
          <w:b/>
          <w:sz w:val="22"/>
          <w:szCs w:val="22"/>
          <w:lang w:val="mn-MN"/>
        </w:rPr>
      </w:pPr>
      <w:r w:rsidRPr="00D46EF3">
        <w:rPr>
          <w:b/>
          <w:sz w:val="22"/>
          <w:szCs w:val="22"/>
          <w:lang w:val="mn-MN"/>
        </w:rPr>
        <w:t>Publication of the Citizen's Budget booklet for budget execution 2018</w:t>
      </w:r>
    </w:p>
    <w:p w14:paraId="5E7938B3" w14:textId="77777777" w:rsidR="004471FA" w:rsidRPr="00D46EF3" w:rsidRDefault="004471FA" w:rsidP="004471FA">
      <w:pPr>
        <w:spacing w:line="240" w:lineRule="atLeast"/>
        <w:rPr>
          <w:sz w:val="22"/>
          <w:szCs w:val="22"/>
          <w:lang w:val="mn-MN"/>
        </w:rPr>
      </w:pPr>
    </w:p>
    <w:p w14:paraId="6B81175F" w14:textId="77777777" w:rsidR="004471FA" w:rsidRPr="00D46EF3" w:rsidRDefault="004471FA" w:rsidP="004471FA">
      <w:pPr>
        <w:spacing w:line="240" w:lineRule="atLeast"/>
        <w:rPr>
          <w:sz w:val="22"/>
          <w:szCs w:val="22"/>
          <w:lang w:val="mn-MN"/>
        </w:rPr>
      </w:pPr>
      <w:r w:rsidRPr="00D46EF3">
        <w:rPr>
          <w:sz w:val="22"/>
          <w:szCs w:val="22"/>
          <w:lang w:val="mn-MN"/>
        </w:rPr>
        <w:t>Purchaser: Component # 2.3, SGM Project (Financing Reporting and Accounting  Division, TD, MoF)</w:t>
      </w:r>
    </w:p>
    <w:p w14:paraId="526A8A60" w14:textId="77777777" w:rsidR="004471FA" w:rsidRPr="00D46EF3" w:rsidRDefault="004471FA" w:rsidP="004471FA">
      <w:pPr>
        <w:rPr>
          <w:sz w:val="22"/>
          <w:szCs w:val="22"/>
          <w:lang w:val="mn-MN"/>
        </w:rPr>
      </w:pPr>
    </w:p>
    <w:p w14:paraId="5C4B703F" w14:textId="77777777" w:rsidR="004471FA" w:rsidRPr="00D46EF3" w:rsidRDefault="004471FA" w:rsidP="004471FA">
      <w:pPr>
        <w:numPr>
          <w:ilvl w:val="0"/>
          <w:numId w:val="2"/>
        </w:numPr>
        <w:rPr>
          <w:sz w:val="22"/>
          <w:szCs w:val="22"/>
          <w:lang w:val="mn-MN"/>
        </w:rPr>
      </w:pPr>
      <w:r w:rsidRPr="00D46EF3">
        <w:rPr>
          <w:sz w:val="22"/>
          <w:szCs w:val="22"/>
          <w:lang w:val="mn-MN"/>
        </w:rPr>
        <w:t>Prices Schedule of the Goods:</w:t>
      </w:r>
    </w:p>
    <w:p w14:paraId="551E05E4" w14:textId="77777777" w:rsidR="004471FA" w:rsidRPr="00D46EF3" w:rsidRDefault="004471FA" w:rsidP="004471FA">
      <w:pPr>
        <w:rPr>
          <w:i/>
          <w:sz w:val="22"/>
          <w:szCs w:val="22"/>
          <w:lang w:val="mn-MN"/>
        </w:rPr>
      </w:pPr>
    </w:p>
    <w:tbl>
      <w:tblPr>
        <w:tblStyle w:val="TableGrid"/>
        <w:tblW w:w="0" w:type="auto"/>
        <w:tblLook w:val="06A0" w:firstRow="1" w:lastRow="0" w:firstColumn="1" w:lastColumn="0" w:noHBand="1" w:noVBand="1"/>
      </w:tblPr>
      <w:tblGrid>
        <w:gridCol w:w="485"/>
        <w:gridCol w:w="2716"/>
        <w:gridCol w:w="1024"/>
        <w:gridCol w:w="810"/>
        <w:gridCol w:w="990"/>
        <w:gridCol w:w="1080"/>
        <w:gridCol w:w="1170"/>
        <w:gridCol w:w="1201"/>
      </w:tblGrid>
      <w:tr w:rsidR="004471FA" w:rsidRPr="00D46EF3" w14:paraId="1B389497" w14:textId="77777777" w:rsidTr="005E621C">
        <w:tc>
          <w:tcPr>
            <w:tcW w:w="0" w:type="auto"/>
            <w:vMerge w:val="restart"/>
            <w:vAlign w:val="center"/>
          </w:tcPr>
          <w:p w14:paraId="7BD4CFF8" w14:textId="77777777" w:rsidR="004471FA" w:rsidRPr="00D46EF3" w:rsidRDefault="004471FA" w:rsidP="005E621C">
            <w:pPr>
              <w:jc w:val="center"/>
              <w:rPr>
                <w:b/>
                <w:bCs/>
                <w:sz w:val="22"/>
                <w:szCs w:val="22"/>
                <w:lang w:val="mn-MN"/>
              </w:rPr>
            </w:pPr>
            <w:r w:rsidRPr="00D46EF3">
              <w:rPr>
                <w:b/>
                <w:bCs/>
                <w:sz w:val="22"/>
                <w:szCs w:val="22"/>
                <w:lang w:val="mn-MN"/>
              </w:rPr>
              <w:t>No</w:t>
            </w:r>
          </w:p>
        </w:tc>
        <w:tc>
          <w:tcPr>
            <w:tcW w:w="0" w:type="auto"/>
            <w:vMerge w:val="restart"/>
            <w:vAlign w:val="center"/>
          </w:tcPr>
          <w:p w14:paraId="2E3B5CA0" w14:textId="77777777" w:rsidR="004471FA" w:rsidRPr="00D46EF3" w:rsidRDefault="004471FA" w:rsidP="005E621C">
            <w:pPr>
              <w:jc w:val="center"/>
              <w:rPr>
                <w:b/>
                <w:bCs/>
                <w:sz w:val="22"/>
                <w:szCs w:val="22"/>
                <w:lang w:val="mn-MN"/>
              </w:rPr>
            </w:pPr>
            <w:r w:rsidRPr="00D46EF3">
              <w:rPr>
                <w:b/>
                <w:bCs/>
                <w:sz w:val="22"/>
                <w:szCs w:val="22"/>
                <w:lang w:val="mn-MN"/>
              </w:rPr>
              <w:t>Item</w:t>
            </w:r>
          </w:p>
          <w:p w14:paraId="365D1F99" w14:textId="77777777" w:rsidR="004471FA" w:rsidRPr="00D46EF3" w:rsidRDefault="004471FA" w:rsidP="005E621C">
            <w:pPr>
              <w:jc w:val="center"/>
              <w:rPr>
                <w:sz w:val="22"/>
                <w:szCs w:val="22"/>
                <w:lang w:val="mn-MN"/>
              </w:rPr>
            </w:pPr>
          </w:p>
        </w:tc>
        <w:tc>
          <w:tcPr>
            <w:tcW w:w="2824" w:type="dxa"/>
            <w:gridSpan w:val="3"/>
            <w:vAlign w:val="center"/>
          </w:tcPr>
          <w:p w14:paraId="2D91F046" w14:textId="77777777" w:rsidR="004471FA" w:rsidRPr="00D46EF3" w:rsidRDefault="004471FA" w:rsidP="005E621C">
            <w:pPr>
              <w:jc w:val="center"/>
              <w:rPr>
                <w:b/>
                <w:bCs/>
                <w:sz w:val="22"/>
                <w:szCs w:val="22"/>
                <w:lang w:val="mn-MN"/>
              </w:rPr>
            </w:pPr>
            <w:r w:rsidRPr="00D46EF3">
              <w:rPr>
                <w:b/>
                <w:bCs/>
                <w:sz w:val="22"/>
                <w:szCs w:val="22"/>
                <w:lang w:val="mn-MN"/>
              </w:rPr>
              <w:t>Unit price</w:t>
            </w:r>
          </w:p>
        </w:tc>
        <w:tc>
          <w:tcPr>
            <w:tcW w:w="1080" w:type="dxa"/>
            <w:vMerge w:val="restart"/>
            <w:vAlign w:val="center"/>
          </w:tcPr>
          <w:p w14:paraId="52BB700A" w14:textId="77777777" w:rsidR="004471FA" w:rsidRPr="00D46EF3" w:rsidRDefault="004471FA" w:rsidP="005E621C">
            <w:pPr>
              <w:jc w:val="center"/>
              <w:rPr>
                <w:b/>
                <w:bCs/>
                <w:sz w:val="22"/>
                <w:szCs w:val="22"/>
                <w:lang w:val="mn-MN"/>
              </w:rPr>
            </w:pPr>
            <w:r w:rsidRPr="00D46EF3">
              <w:rPr>
                <w:b/>
                <w:bCs/>
                <w:sz w:val="22"/>
                <w:szCs w:val="22"/>
                <w:lang w:val="mn-MN"/>
              </w:rPr>
              <w:t>Quantity</w:t>
            </w:r>
          </w:p>
        </w:tc>
        <w:tc>
          <w:tcPr>
            <w:tcW w:w="1170" w:type="dxa"/>
            <w:vMerge w:val="restart"/>
            <w:vAlign w:val="center"/>
          </w:tcPr>
          <w:p w14:paraId="7BC61BD3" w14:textId="77777777" w:rsidR="004471FA" w:rsidRPr="00D46EF3" w:rsidRDefault="004471FA" w:rsidP="005E621C">
            <w:pPr>
              <w:jc w:val="center"/>
              <w:rPr>
                <w:b/>
                <w:bCs/>
                <w:sz w:val="22"/>
                <w:szCs w:val="22"/>
                <w:lang w:val="mn-MN"/>
              </w:rPr>
            </w:pPr>
            <w:r w:rsidRPr="00D46EF3">
              <w:rPr>
                <w:b/>
                <w:bCs/>
                <w:sz w:val="22"/>
                <w:szCs w:val="22"/>
                <w:lang w:val="mn-MN"/>
              </w:rPr>
              <w:t>Total Price</w:t>
            </w:r>
          </w:p>
          <w:p w14:paraId="7A2678F1" w14:textId="77777777" w:rsidR="004471FA" w:rsidRPr="00D46EF3" w:rsidRDefault="004471FA" w:rsidP="005E621C">
            <w:pPr>
              <w:jc w:val="center"/>
              <w:rPr>
                <w:b/>
                <w:bCs/>
                <w:sz w:val="22"/>
                <w:szCs w:val="22"/>
                <w:lang w:val="mn-MN"/>
              </w:rPr>
            </w:pPr>
            <w:r w:rsidRPr="00D46EF3">
              <w:rPr>
                <w:b/>
                <w:bCs/>
                <w:sz w:val="22"/>
                <w:szCs w:val="22"/>
                <w:lang w:val="mn-MN"/>
              </w:rPr>
              <w:t>with VAT</w:t>
            </w:r>
          </w:p>
        </w:tc>
        <w:tc>
          <w:tcPr>
            <w:tcW w:w="1201" w:type="dxa"/>
            <w:vMerge w:val="restart"/>
            <w:vAlign w:val="center"/>
          </w:tcPr>
          <w:p w14:paraId="30FAA92B" w14:textId="77777777" w:rsidR="004471FA" w:rsidRPr="00D46EF3" w:rsidRDefault="004471FA" w:rsidP="005E621C">
            <w:pPr>
              <w:jc w:val="center"/>
              <w:rPr>
                <w:sz w:val="22"/>
                <w:szCs w:val="22"/>
                <w:lang w:val="mn-MN"/>
              </w:rPr>
            </w:pPr>
            <w:r w:rsidRPr="00D46EF3">
              <w:rPr>
                <w:b/>
                <w:sz w:val="22"/>
                <w:szCs w:val="22"/>
                <w:lang w:val="mn-MN"/>
              </w:rPr>
              <w:t>Delivery schedule</w:t>
            </w:r>
          </w:p>
        </w:tc>
      </w:tr>
      <w:tr w:rsidR="004471FA" w:rsidRPr="00D46EF3" w14:paraId="5CD28C61" w14:textId="77777777" w:rsidTr="005E621C">
        <w:tc>
          <w:tcPr>
            <w:tcW w:w="0" w:type="auto"/>
            <w:vMerge/>
          </w:tcPr>
          <w:p w14:paraId="64A920A5" w14:textId="77777777" w:rsidR="004471FA" w:rsidRPr="00D46EF3" w:rsidRDefault="004471FA" w:rsidP="005E621C">
            <w:pPr>
              <w:rPr>
                <w:sz w:val="22"/>
                <w:szCs w:val="22"/>
                <w:lang w:val="mn-MN"/>
              </w:rPr>
            </w:pPr>
          </w:p>
        </w:tc>
        <w:tc>
          <w:tcPr>
            <w:tcW w:w="0" w:type="auto"/>
            <w:vMerge/>
          </w:tcPr>
          <w:p w14:paraId="47565832" w14:textId="77777777" w:rsidR="004471FA" w:rsidRPr="00D46EF3" w:rsidRDefault="004471FA" w:rsidP="005E621C">
            <w:pPr>
              <w:rPr>
                <w:sz w:val="22"/>
                <w:szCs w:val="22"/>
                <w:lang w:val="mn-MN"/>
              </w:rPr>
            </w:pPr>
          </w:p>
        </w:tc>
        <w:tc>
          <w:tcPr>
            <w:tcW w:w="1024" w:type="dxa"/>
            <w:vAlign w:val="center"/>
          </w:tcPr>
          <w:p w14:paraId="5682527A" w14:textId="77777777" w:rsidR="004471FA" w:rsidRPr="00D46EF3" w:rsidRDefault="004471FA" w:rsidP="005E621C">
            <w:pPr>
              <w:jc w:val="center"/>
              <w:rPr>
                <w:b/>
                <w:bCs/>
                <w:sz w:val="22"/>
                <w:szCs w:val="22"/>
                <w:lang w:val="mn-MN"/>
              </w:rPr>
            </w:pPr>
            <w:r w:rsidRPr="00D46EF3">
              <w:rPr>
                <w:b/>
                <w:bCs/>
                <w:sz w:val="22"/>
                <w:szCs w:val="22"/>
                <w:lang w:val="mn-MN"/>
              </w:rPr>
              <w:t>Unit Price without VAT</w:t>
            </w:r>
          </w:p>
          <w:p w14:paraId="60A2E3C4" w14:textId="77777777" w:rsidR="004471FA" w:rsidRPr="00D46EF3" w:rsidRDefault="004471FA" w:rsidP="005E621C">
            <w:pPr>
              <w:jc w:val="center"/>
              <w:rPr>
                <w:sz w:val="22"/>
                <w:szCs w:val="22"/>
                <w:lang w:val="mn-MN"/>
              </w:rPr>
            </w:pPr>
          </w:p>
        </w:tc>
        <w:tc>
          <w:tcPr>
            <w:tcW w:w="810" w:type="dxa"/>
            <w:vAlign w:val="center"/>
          </w:tcPr>
          <w:p w14:paraId="6408C10D" w14:textId="77777777" w:rsidR="004471FA" w:rsidRPr="00D46EF3" w:rsidRDefault="004471FA" w:rsidP="005E621C">
            <w:pPr>
              <w:jc w:val="center"/>
              <w:rPr>
                <w:b/>
                <w:bCs/>
                <w:sz w:val="22"/>
                <w:szCs w:val="22"/>
                <w:lang w:val="mn-MN"/>
              </w:rPr>
            </w:pPr>
            <w:r w:rsidRPr="00D46EF3">
              <w:rPr>
                <w:b/>
                <w:bCs/>
                <w:sz w:val="22"/>
                <w:szCs w:val="22"/>
                <w:lang w:val="mn-MN"/>
              </w:rPr>
              <w:t>VAT</w:t>
            </w:r>
          </w:p>
          <w:p w14:paraId="3EE2EA50" w14:textId="77777777" w:rsidR="004471FA" w:rsidRPr="00D46EF3" w:rsidRDefault="004471FA" w:rsidP="005E621C">
            <w:pPr>
              <w:jc w:val="center"/>
              <w:rPr>
                <w:sz w:val="22"/>
                <w:szCs w:val="22"/>
                <w:lang w:val="mn-MN"/>
              </w:rPr>
            </w:pPr>
          </w:p>
        </w:tc>
        <w:tc>
          <w:tcPr>
            <w:tcW w:w="990" w:type="dxa"/>
            <w:vAlign w:val="center"/>
          </w:tcPr>
          <w:p w14:paraId="2243C9B1" w14:textId="77777777" w:rsidR="004471FA" w:rsidRPr="00D46EF3" w:rsidRDefault="004471FA" w:rsidP="005E621C">
            <w:pPr>
              <w:jc w:val="center"/>
              <w:rPr>
                <w:b/>
                <w:bCs/>
                <w:sz w:val="22"/>
                <w:szCs w:val="22"/>
                <w:lang w:val="mn-MN"/>
              </w:rPr>
            </w:pPr>
            <w:r w:rsidRPr="00D46EF3">
              <w:rPr>
                <w:b/>
                <w:bCs/>
                <w:sz w:val="22"/>
                <w:szCs w:val="22"/>
                <w:lang w:val="mn-MN"/>
              </w:rPr>
              <w:t>Unit Price with VAT</w:t>
            </w:r>
          </w:p>
        </w:tc>
        <w:tc>
          <w:tcPr>
            <w:tcW w:w="1080" w:type="dxa"/>
            <w:vMerge/>
          </w:tcPr>
          <w:p w14:paraId="1D9D61D8" w14:textId="77777777" w:rsidR="004471FA" w:rsidRPr="00D46EF3" w:rsidRDefault="004471FA" w:rsidP="005E621C">
            <w:pPr>
              <w:rPr>
                <w:sz w:val="22"/>
                <w:szCs w:val="22"/>
                <w:lang w:val="mn-MN"/>
              </w:rPr>
            </w:pPr>
          </w:p>
        </w:tc>
        <w:tc>
          <w:tcPr>
            <w:tcW w:w="1170" w:type="dxa"/>
            <w:vMerge/>
          </w:tcPr>
          <w:p w14:paraId="39BF6D71" w14:textId="77777777" w:rsidR="004471FA" w:rsidRPr="00D46EF3" w:rsidRDefault="004471FA" w:rsidP="005E621C">
            <w:pPr>
              <w:rPr>
                <w:sz w:val="22"/>
                <w:szCs w:val="22"/>
                <w:lang w:val="mn-MN"/>
              </w:rPr>
            </w:pPr>
          </w:p>
        </w:tc>
        <w:tc>
          <w:tcPr>
            <w:tcW w:w="1201" w:type="dxa"/>
            <w:vMerge/>
          </w:tcPr>
          <w:p w14:paraId="7FD656F2" w14:textId="77777777" w:rsidR="004471FA" w:rsidRPr="00D46EF3" w:rsidRDefault="004471FA" w:rsidP="005E621C">
            <w:pPr>
              <w:rPr>
                <w:sz w:val="22"/>
                <w:szCs w:val="22"/>
                <w:lang w:val="mn-MN"/>
              </w:rPr>
            </w:pPr>
          </w:p>
        </w:tc>
      </w:tr>
      <w:tr w:rsidR="004471FA" w:rsidRPr="00D46EF3" w14:paraId="1E67C7A0" w14:textId="77777777" w:rsidTr="005E621C">
        <w:tc>
          <w:tcPr>
            <w:tcW w:w="0" w:type="auto"/>
            <w:vAlign w:val="center"/>
          </w:tcPr>
          <w:p w14:paraId="146058DB" w14:textId="77777777" w:rsidR="004471FA" w:rsidRPr="00D46EF3" w:rsidRDefault="004471FA" w:rsidP="005E621C">
            <w:pPr>
              <w:rPr>
                <w:lang w:val="mn-MN"/>
              </w:rPr>
            </w:pPr>
            <w:r w:rsidRPr="00D46EF3">
              <w:rPr>
                <w:lang w:val="mn-MN"/>
              </w:rPr>
              <w:t>1.</w:t>
            </w:r>
          </w:p>
        </w:tc>
        <w:tc>
          <w:tcPr>
            <w:tcW w:w="0" w:type="auto"/>
          </w:tcPr>
          <w:p w14:paraId="4F3D8773" w14:textId="77777777" w:rsidR="004471FA" w:rsidRPr="00D46EF3" w:rsidRDefault="004471FA" w:rsidP="005E621C">
            <w:pPr>
              <w:jc w:val="both"/>
              <w:rPr>
                <w:b/>
                <w:bCs/>
                <w:sz w:val="22"/>
                <w:szCs w:val="22"/>
                <w:lang w:val="mn-MN"/>
              </w:rPr>
            </w:pPr>
            <w:r w:rsidRPr="00D46EF3">
              <w:rPr>
                <w:b/>
                <w:bCs/>
                <w:sz w:val="22"/>
                <w:szCs w:val="22"/>
                <w:lang w:val="mn-MN"/>
              </w:rPr>
              <w:t>Publication of Citizens Budget execution 2018</w:t>
            </w:r>
          </w:p>
          <w:p w14:paraId="068221F8" w14:textId="77777777" w:rsidR="004471FA" w:rsidRPr="00D46EF3" w:rsidRDefault="004471FA" w:rsidP="005E621C">
            <w:pPr>
              <w:jc w:val="both"/>
              <w:rPr>
                <w:color w:val="212121"/>
                <w:sz w:val="22"/>
                <w:szCs w:val="22"/>
                <w:lang w:val="mn-MN"/>
              </w:rPr>
            </w:pPr>
            <w:r w:rsidRPr="00D46EF3">
              <w:rPr>
                <w:sz w:val="22"/>
                <w:szCs w:val="22"/>
                <w:lang w:val="mn-MN"/>
              </w:rPr>
              <w:t>Number of pages – A4 size- around 100 pages;</w:t>
            </w:r>
            <w:r w:rsidRPr="00D46EF3">
              <w:rPr>
                <w:color w:val="212121"/>
                <w:sz w:val="22"/>
                <w:szCs w:val="22"/>
                <w:lang w:val="mn-MN"/>
              </w:rPr>
              <w:t xml:space="preserve"> </w:t>
            </w:r>
          </w:p>
          <w:p w14:paraId="495DDCBE" w14:textId="77777777" w:rsidR="004471FA" w:rsidRPr="00D46EF3" w:rsidRDefault="004471FA" w:rsidP="005E621C">
            <w:pPr>
              <w:jc w:val="both"/>
              <w:rPr>
                <w:color w:val="212121"/>
                <w:sz w:val="22"/>
                <w:szCs w:val="22"/>
                <w:lang w:val="mn-MN"/>
              </w:rPr>
            </w:pPr>
            <w:r w:rsidRPr="00D46EF3">
              <w:rPr>
                <w:color w:val="212121"/>
                <w:sz w:val="22"/>
                <w:szCs w:val="22"/>
                <w:lang w:val="mn-MN"/>
              </w:rPr>
              <w:t xml:space="preserve">Cover: 4 + 4 color, 250g matte coated chalk paper; </w:t>
            </w:r>
          </w:p>
          <w:p w14:paraId="30EA40F6" w14:textId="77777777" w:rsidR="004471FA" w:rsidRPr="00D46EF3" w:rsidRDefault="004471FA" w:rsidP="005E621C">
            <w:pPr>
              <w:rPr>
                <w:color w:val="212121"/>
                <w:sz w:val="22"/>
                <w:szCs w:val="22"/>
                <w:lang w:val="mn-MN"/>
              </w:rPr>
            </w:pPr>
            <w:r w:rsidRPr="00D46EF3">
              <w:rPr>
                <w:color w:val="212121"/>
                <w:sz w:val="22"/>
                <w:szCs w:val="22"/>
                <w:lang w:val="mn-MN"/>
              </w:rPr>
              <w:t>Interior: 4 + 4 color, 105g chalk paper;</w:t>
            </w:r>
          </w:p>
          <w:p w14:paraId="25CAF256" w14:textId="77777777" w:rsidR="004471FA" w:rsidRPr="00D46EF3" w:rsidRDefault="004471FA" w:rsidP="005E621C">
            <w:pPr>
              <w:jc w:val="both"/>
              <w:rPr>
                <w:sz w:val="22"/>
                <w:szCs w:val="22"/>
                <w:lang w:val="mn-MN"/>
              </w:rPr>
            </w:pPr>
            <w:r w:rsidRPr="00D46EF3">
              <w:rPr>
                <w:color w:val="212121"/>
                <w:sz w:val="22"/>
                <w:szCs w:val="22"/>
                <w:lang w:val="mn-MN"/>
              </w:rPr>
              <w:t>Binding: high quality saddle stitch.</w:t>
            </w:r>
          </w:p>
        </w:tc>
        <w:tc>
          <w:tcPr>
            <w:tcW w:w="1024" w:type="dxa"/>
            <w:vAlign w:val="center"/>
          </w:tcPr>
          <w:p w14:paraId="75BFA654" w14:textId="77777777" w:rsidR="004471FA" w:rsidRPr="00D46EF3" w:rsidRDefault="004471FA" w:rsidP="005E621C">
            <w:pPr>
              <w:jc w:val="center"/>
              <w:rPr>
                <w:sz w:val="22"/>
                <w:szCs w:val="22"/>
                <w:lang w:val="mn-MN"/>
              </w:rPr>
            </w:pPr>
          </w:p>
        </w:tc>
        <w:tc>
          <w:tcPr>
            <w:tcW w:w="810" w:type="dxa"/>
            <w:vAlign w:val="center"/>
          </w:tcPr>
          <w:p w14:paraId="545CE398" w14:textId="77777777" w:rsidR="004471FA" w:rsidRPr="00D46EF3" w:rsidRDefault="004471FA" w:rsidP="005E621C">
            <w:pPr>
              <w:jc w:val="center"/>
              <w:rPr>
                <w:sz w:val="22"/>
                <w:szCs w:val="22"/>
                <w:lang w:val="mn-MN"/>
              </w:rPr>
            </w:pPr>
          </w:p>
        </w:tc>
        <w:tc>
          <w:tcPr>
            <w:tcW w:w="990" w:type="dxa"/>
            <w:vAlign w:val="center"/>
          </w:tcPr>
          <w:p w14:paraId="0A941A76" w14:textId="2B64E427" w:rsidR="004471FA" w:rsidRPr="00D46EF3" w:rsidRDefault="004471FA" w:rsidP="005E621C">
            <w:pPr>
              <w:jc w:val="center"/>
              <w:rPr>
                <w:sz w:val="22"/>
                <w:szCs w:val="22"/>
                <w:lang w:val="mn-MN"/>
              </w:rPr>
            </w:pPr>
          </w:p>
        </w:tc>
        <w:tc>
          <w:tcPr>
            <w:tcW w:w="1080" w:type="dxa"/>
            <w:vAlign w:val="center"/>
          </w:tcPr>
          <w:p w14:paraId="6EC7C4FB" w14:textId="77777777" w:rsidR="004471FA" w:rsidRPr="00D46EF3" w:rsidRDefault="004471FA" w:rsidP="005E621C">
            <w:pPr>
              <w:jc w:val="center"/>
              <w:rPr>
                <w:sz w:val="22"/>
                <w:szCs w:val="22"/>
                <w:lang w:val="mn-MN"/>
              </w:rPr>
            </w:pPr>
            <w:r w:rsidRPr="00D46EF3">
              <w:rPr>
                <w:sz w:val="22"/>
                <w:szCs w:val="22"/>
                <w:lang w:val="mn-MN"/>
              </w:rPr>
              <w:t>1,000 pcs</w:t>
            </w:r>
          </w:p>
        </w:tc>
        <w:tc>
          <w:tcPr>
            <w:tcW w:w="1170" w:type="dxa"/>
            <w:vAlign w:val="center"/>
          </w:tcPr>
          <w:p w14:paraId="00DCC028" w14:textId="58917D04" w:rsidR="004471FA" w:rsidRPr="00D46EF3" w:rsidRDefault="004471FA" w:rsidP="005E621C">
            <w:pPr>
              <w:jc w:val="center"/>
              <w:rPr>
                <w:sz w:val="22"/>
                <w:szCs w:val="22"/>
                <w:lang w:val="mn-MN"/>
              </w:rPr>
            </w:pPr>
          </w:p>
        </w:tc>
        <w:tc>
          <w:tcPr>
            <w:tcW w:w="1201" w:type="dxa"/>
            <w:vAlign w:val="center"/>
          </w:tcPr>
          <w:p w14:paraId="2FC47275" w14:textId="77777777" w:rsidR="004471FA" w:rsidRPr="00D46EF3" w:rsidRDefault="004471FA" w:rsidP="005E621C">
            <w:pPr>
              <w:jc w:val="center"/>
              <w:rPr>
                <w:sz w:val="22"/>
                <w:szCs w:val="22"/>
                <w:lang w:val="mn-MN"/>
              </w:rPr>
            </w:pPr>
            <w:r w:rsidRPr="00D46EF3">
              <w:rPr>
                <w:sz w:val="22"/>
                <w:szCs w:val="22"/>
                <w:lang w:val="mn-MN"/>
              </w:rPr>
              <w:t>Within 14 calendar days after signing the contract</w:t>
            </w:r>
          </w:p>
        </w:tc>
      </w:tr>
      <w:tr w:rsidR="004471FA" w:rsidRPr="00D46EF3" w14:paraId="219CDE72" w14:textId="77777777" w:rsidTr="005E621C">
        <w:trPr>
          <w:trHeight w:val="410"/>
        </w:trPr>
        <w:tc>
          <w:tcPr>
            <w:tcW w:w="0" w:type="auto"/>
          </w:tcPr>
          <w:p w14:paraId="0E62114B" w14:textId="77777777" w:rsidR="004471FA" w:rsidRPr="00D46EF3" w:rsidRDefault="004471FA" w:rsidP="005E621C">
            <w:pPr>
              <w:rPr>
                <w:sz w:val="22"/>
                <w:szCs w:val="22"/>
                <w:lang w:val="mn-MN"/>
              </w:rPr>
            </w:pPr>
          </w:p>
        </w:tc>
        <w:tc>
          <w:tcPr>
            <w:tcW w:w="7340" w:type="dxa"/>
            <w:gridSpan w:val="5"/>
            <w:vAlign w:val="center"/>
          </w:tcPr>
          <w:p w14:paraId="633E2301" w14:textId="77777777" w:rsidR="004471FA" w:rsidRPr="00D46EF3" w:rsidRDefault="004471FA" w:rsidP="005E621C">
            <w:pPr>
              <w:jc w:val="center"/>
              <w:rPr>
                <w:b/>
                <w:bCs/>
                <w:sz w:val="22"/>
                <w:szCs w:val="22"/>
                <w:lang w:val="mn-MN"/>
              </w:rPr>
            </w:pPr>
            <w:r w:rsidRPr="00D46EF3">
              <w:rPr>
                <w:b/>
                <w:bCs/>
                <w:sz w:val="22"/>
                <w:szCs w:val="22"/>
                <w:lang w:val="mn-MN"/>
              </w:rPr>
              <w:t>Total</w:t>
            </w:r>
          </w:p>
        </w:tc>
        <w:tc>
          <w:tcPr>
            <w:tcW w:w="1170" w:type="dxa"/>
          </w:tcPr>
          <w:p w14:paraId="61D1BAC2" w14:textId="6075DBEA" w:rsidR="004471FA" w:rsidRPr="00D46EF3" w:rsidRDefault="004471FA" w:rsidP="005E621C">
            <w:pPr>
              <w:rPr>
                <w:b/>
                <w:bCs/>
                <w:sz w:val="22"/>
                <w:szCs w:val="22"/>
                <w:lang w:val="mn-MN"/>
              </w:rPr>
            </w:pPr>
          </w:p>
        </w:tc>
        <w:tc>
          <w:tcPr>
            <w:tcW w:w="1201" w:type="dxa"/>
          </w:tcPr>
          <w:p w14:paraId="45F6A175" w14:textId="77777777" w:rsidR="004471FA" w:rsidRPr="00D46EF3" w:rsidRDefault="004471FA" w:rsidP="005E621C">
            <w:pPr>
              <w:rPr>
                <w:sz w:val="22"/>
                <w:szCs w:val="22"/>
                <w:lang w:val="mn-MN"/>
              </w:rPr>
            </w:pPr>
          </w:p>
        </w:tc>
      </w:tr>
    </w:tbl>
    <w:p w14:paraId="1A0E8632" w14:textId="77777777" w:rsidR="004471FA" w:rsidRPr="00D46EF3" w:rsidRDefault="004471FA" w:rsidP="004471FA">
      <w:pPr>
        <w:rPr>
          <w:i/>
          <w:sz w:val="22"/>
          <w:szCs w:val="22"/>
          <w:lang w:val="mn-MN"/>
        </w:rPr>
      </w:pPr>
    </w:p>
    <w:p w14:paraId="3A3EEA48" w14:textId="77777777" w:rsidR="004471FA" w:rsidRPr="00D46EF3" w:rsidRDefault="004471FA" w:rsidP="004471FA">
      <w:pPr>
        <w:rPr>
          <w:i/>
          <w:sz w:val="22"/>
          <w:szCs w:val="22"/>
          <w:lang w:val="mn-MN"/>
        </w:rPr>
      </w:pPr>
      <w:r w:rsidRPr="00D46EF3">
        <w:rPr>
          <w:i/>
          <w:sz w:val="22"/>
          <w:szCs w:val="22"/>
          <w:lang w:val="mn-MN"/>
        </w:rPr>
        <w:t xml:space="preserve">{Note: In case of discrepancy between unit price and Total derived from unit price, </w:t>
      </w:r>
      <w:r w:rsidRPr="00D46EF3">
        <w:rPr>
          <w:b/>
          <w:i/>
          <w:sz w:val="22"/>
          <w:szCs w:val="22"/>
          <w:u w:val="single"/>
          <w:lang w:val="mn-MN"/>
        </w:rPr>
        <w:t>unit price without VAT shall prevail</w:t>
      </w:r>
      <w:r w:rsidRPr="00D46EF3">
        <w:rPr>
          <w:i/>
          <w:sz w:val="22"/>
          <w:szCs w:val="22"/>
          <w:lang w:val="mn-MN"/>
        </w:rPr>
        <w:t>}</w:t>
      </w:r>
    </w:p>
    <w:p w14:paraId="1AAE95E3" w14:textId="77777777" w:rsidR="004471FA" w:rsidRPr="00D46EF3" w:rsidRDefault="004471FA" w:rsidP="004471FA">
      <w:pPr>
        <w:rPr>
          <w:sz w:val="22"/>
          <w:szCs w:val="22"/>
          <w:lang w:val="mn-MN"/>
        </w:rPr>
      </w:pPr>
      <w:r w:rsidRPr="00D46EF3">
        <w:rPr>
          <w:sz w:val="22"/>
          <w:szCs w:val="22"/>
          <w:lang w:val="mn-MN"/>
        </w:rPr>
        <w:tab/>
      </w:r>
      <w:r w:rsidRPr="00D46EF3">
        <w:rPr>
          <w:sz w:val="22"/>
          <w:szCs w:val="22"/>
          <w:u w:val="single"/>
          <w:lang w:val="mn-MN"/>
        </w:rPr>
        <w:t xml:space="preserve">Spare Parts </w:t>
      </w:r>
      <w:r w:rsidRPr="00D46EF3">
        <w:rPr>
          <w:sz w:val="22"/>
          <w:szCs w:val="22"/>
          <w:lang w:val="mn-MN"/>
        </w:rPr>
        <w:tab/>
      </w:r>
      <w:r w:rsidRPr="00D46EF3">
        <w:rPr>
          <w:sz w:val="22"/>
          <w:szCs w:val="22"/>
          <w:lang w:val="mn-MN"/>
        </w:rPr>
        <w:tab/>
      </w:r>
      <w:r w:rsidRPr="00D46EF3">
        <w:rPr>
          <w:sz w:val="22"/>
          <w:szCs w:val="22"/>
          <w:lang w:val="mn-MN"/>
        </w:rPr>
        <w:tab/>
      </w:r>
      <w:r w:rsidRPr="00D46EF3">
        <w:rPr>
          <w:sz w:val="22"/>
          <w:szCs w:val="22"/>
          <w:lang w:val="mn-MN"/>
        </w:rPr>
        <w:tab/>
        <w:t>}</w:t>
      </w:r>
    </w:p>
    <w:p w14:paraId="36B8F51D" w14:textId="77777777" w:rsidR="004471FA" w:rsidRPr="00D46EF3" w:rsidRDefault="004471FA" w:rsidP="004471FA">
      <w:pPr>
        <w:rPr>
          <w:sz w:val="22"/>
          <w:szCs w:val="22"/>
          <w:lang w:val="mn-MN"/>
        </w:rPr>
      </w:pPr>
      <w:r w:rsidRPr="00D46EF3">
        <w:rPr>
          <w:sz w:val="22"/>
          <w:szCs w:val="22"/>
          <w:lang w:val="mn-MN"/>
        </w:rPr>
        <w:tab/>
      </w:r>
      <w:r w:rsidRPr="00D46EF3">
        <w:rPr>
          <w:sz w:val="22"/>
          <w:szCs w:val="22"/>
          <w:u w:val="single"/>
          <w:lang w:val="mn-MN"/>
        </w:rPr>
        <w:t xml:space="preserve">Tools and Accessories </w:t>
      </w:r>
      <w:r w:rsidRPr="00D46EF3">
        <w:rPr>
          <w:sz w:val="22"/>
          <w:szCs w:val="22"/>
          <w:lang w:val="mn-MN"/>
        </w:rPr>
        <w:tab/>
      </w:r>
      <w:r w:rsidRPr="00D46EF3">
        <w:rPr>
          <w:sz w:val="22"/>
          <w:szCs w:val="22"/>
          <w:lang w:val="mn-MN"/>
        </w:rPr>
        <w:tab/>
      </w:r>
      <w:r w:rsidRPr="00D46EF3">
        <w:rPr>
          <w:sz w:val="22"/>
          <w:szCs w:val="22"/>
          <w:lang w:val="mn-MN"/>
        </w:rPr>
        <w:tab/>
        <w:t>}</w:t>
      </w:r>
    </w:p>
    <w:p w14:paraId="70A03698" w14:textId="77777777" w:rsidR="004471FA" w:rsidRPr="00D46EF3" w:rsidRDefault="004471FA" w:rsidP="004471FA">
      <w:pPr>
        <w:ind w:firstLine="720"/>
        <w:rPr>
          <w:sz w:val="22"/>
          <w:szCs w:val="22"/>
          <w:lang w:val="mn-MN"/>
        </w:rPr>
      </w:pPr>
      <w:r w:rsidRPr="00D46EF3">
        <w:rPr>
          <w:sz w:val="22"/>
          <w:szCs w:val="22"/>
          <w:u w:val="single"/>
          <w:lang w:val="mn-MN"/>
        </w:rPr>
        <w:t>Manuals</w:t>
      </w:r>
      <w:r w:rsidRPr="00D46EF3">
        <w:rPr>
          <w:sz w:val="22"/>
          <w:szCs w:val="22"/>
          <w:lang w:val="mn-MN"/>
        </w:rPr>
        <w:tab/>
      </w:r>
      <w:r w:rsidRPr="00D46EF3">
        <w:rPr>
          <w:sz w:val="22"/>
          <w:szCs w:val="22"/>
          <w:lang w:val="mn-MN"/>
        </w:rPr>
        <w:tab/>
      </w:r>
      <w:r w:rsidRPr="00D46EF3">
        <w:rPr>
          <w:sz w:val="22"/>
          <w:szCs w:val="22"/>
          <w:lang w:val="mn-MN"/>
        </w:rPr>
        <w:tab/>
      </w:r>
      <w:r w:rsidRPr="00D46EF3">
        <w:rPr>
          <w:sz w:val="22"/>
          <w:szCs w:val="22"/>
          <w:lang w:val="mn-MN"/>
        </w:rPr>
        <w:tab/>
        <w:t>} Specify, if applicable.</w:t>
      </w:r>
    </w:p>
    <w:p w14:paraId="4D5B55FC" w14:textId="77777777" w:rsidR="004471FA" w:rsidRPr="00D46EF3" w:rsidRDefault="004471FA" w:rsidP="004471FA">
      <w:pPr>
        <w:ind w:firstLine="720"/>
        <w:rPr>
          <w:sz w:val="22"/>
          <w:szCs w:val="22"/>
          <w:lang w:val="mn-MN"/>
        </w:rPr>
      </w:pPr>
      <w:r w:rsidRPr="00D46EF3">
        <w:rPr>
          <w:sz w:val="22"/>
          <w:szCs w:val="22"/>
          <w:u w:val="single"/>
          <w:lang w:val="mn-MN"/>
        </w:rPr>
        <w:t>Maintenance Requirements</w:t>
      </w:r>
      <w:r w:rsidRPr="00D46EF3">
        <w:rPr>
          <w:sz w:val="22"/>
          <w:szCs w:val="22"/>
          <w:lang w:val="mn-MN"/>
        </w:rPr>
        <w:tab/>
      </w:r>
      <w:r w:rsidRPr="00D46EF3">
        <w:rPr>
          <w:sz w:val="22"/>
          <w:szCs w:val="22"/>
          <w:lang w:val="mn-MN"/>
        </w:rPr>
        <w:tab/>
        <w:t>}</w:t>
      </w:r>
    </w:p>
    <w:p w14:paraId="43FE8C9F" w14:textId="77777777" w:rsidR="004471FA" w:rsidRPr="00D46EF3" w:rsidRDefault="004471FA" w:rsidP="004471FA">
      <w:pPr>
        <w:ind w:firstLine="720"/>
        <w:rPr>
          <w:sz w:val="22"/>
          <w:szCs w:val="22"/>
          <w:lang w:val="mn-MN"/>
        </w:rPr>
      </w:pPr>
    </w:p>
    <w:p w14:paraId="17659511" w14:textId="77777777" w:rsidR="004471FA" w:rsidRPr="00D46EF3" w:rsidRDefault="004471FA" w:rsidP="004471FA">
      <w:pPr>
        <w:numPr>
          <w:ilvl w:val="0"/>
          <w:numId w:val="1"/>
        </w:numPr>
        <w:ind w:left="450"/>
        <w:contextualSpacing/>
        <w:jc w:val="both"/>
        <w:rPr>
          <w:sz w:val="22"/>
          <w:szCs w:val="22"/>
          <w:lang w:val="mn-MN"/>
        </w:rPr>
      </w:pPr>
      <w:r w:rsidRPr="00D46EF3">
        <w:rPr>
          <w:sz w:val="22"/>
          <w:szCs w:val="22"/>
          <w:u w:val="single"/>
          <w:lang w:val="mn-MN"/>
        </w:rPr>
        <w:t>Fixed Price:</w:t>
      </w:r>
      <w:r w:rsidRPr="00D46EF3">
        <w:rPr>
          <w:sz w:val="22"/>
          <w:szCs w:val="22"/>
          <w:lang w:val="mn-MN"/>
        </w:rPr>
        <w:t xml:space="preserve"> The prices indicated above are fixed and not subject to any adjustment during contract performance.</w:t>
      </w:r>
    </w:p>
    <w:p w14:paraId="2F1476D5" w14:textId="77777777" w:rsidR="004471FA" w:rsidRPr="00D46EF3" w:rsidRDefault="004471FA" w:rsidP="004471FA">
      <w:pPr>
        <w:numPr>
          <w:ilvl w:val="0"/>
          <w:numId w:val="1"/>
        </w:numPr>
        <w:ind w:left="450"/>
        <w:contextualSpacing/>
        <w:jc w:val="both"/>
        <w:rPr>
          <w:sz w:val="22"/>
          <w:szCs w:val="22"/>
          <w:lang w:val="mn-MN"/>
        </w:rPr>
      </w:pPr>
      <w:r w:rsidRPr="00D46EF3">
        <w:rPr>
          <w:sz w:val="22"/>
          <w:szCs w:val="22"/>
          <w:u w:val="single"/>
          <w:lang w:val="mn-MN"/>
        </w:rPr>
        <w:t>Payment:</w:t>
      </w:r>
      <w:r w:rsidRPr="00D46EF3">
        <w:rPr>
          <w:sz w:val="22"/>
          <w:szCs w:val="22"/>
          <w:lang w:val="mn-MN"/>
        </w:rPr>
        <w:t xml:space="preserve"> Payment for your invoice will be made against Purchaser’s acceptance of the goods when the goods are operationally accepted by the Purchaser.</w:t>
      </w:r>
    </w:p>
    <w:p w14:paraId="3F1F920F" w14:textId="77777777" w:rsidR="004471FA" w:rsidRPr="00D46EF3" w:rsidRDefault="004471FA" w:rsidP="004471FA">
      <w:pPr>
        <w:numPr>
          <w:ilvl w:val="0"/>
          <w:numId w:val="1"/>
        </w:numPr>
        <w:ind w:left="450"/>
        <w:contextualSpacing/>
        <w:jc w:val="both"/>
        <w:rPr>
          <w:sz w:val="22"/>
          <w:szCs w:val="22"/>
          <w:lang w:val="mn-MN"/>
        </w:rPr>
      </w:pPr>
      <w:r w:rsidRPr="00D46EF3">
        <w:rPr>
          <w:sz w:val="22"/>
          <w:szCs w:val="22"/>
          <w:u w:val="single"/>
          <w:lang w:val="mn-MN"/>
        </w:rPr>
        <w:t xml:space="preserve">Warranty: </w:t>
      </w:r>
      <w:r w:rsidRPr="00D46EF3">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39332AA2" w14:textId="77777777" w:rsidR="004471FA" w:rsidRPr="00D46EF3" w:rsidRDefault="004471FA" w:rsidP="004471FA">
      <w:pPr>
        <w:tabs>
          <w:tab w:val="num" w:pos="360"/>
        </w:tabs>
        <w:ind w:left="360" w:hanging="270"/>
        <w:contextualSpacing/>
        <w:jc w:val="both"/>
        <w:rPr>
          <w:sz w:val="22"/>
          <w:szCs w:val="22"/>
          <w:lang w:val="mn-MN"/>
        </w:rPr>
      </w:pPr>
      <w:r w:rsidRPr="00D46EF3">
        <w:rPr>
          <w:sz w:val="22"/>
          <w:szCs w:val="22"/>
          <w:lang w:val="mn-MN"/>
        </w:rPr>
        <w:t>4.</w:t>
      </w:r>
      <w:r w:rsidRPr="00D46EF3">
        <w:rPr>
          <w:sz w:val="22"/>
          <w:szCs w:val="22"/>
          <w:lang w:val="mn-MN"/>
        </w:rPr>
        <w:tab/>
      </w:r>
      <w:r w:rsidRPr="00D46EF3">
        <w:rPr>
          <w:sz w:val="22"/>
          <w:szCs w:val="22"/>
          <w:u w:val="single"/>
          <w:lang w:val="mn-MN"/>
        </w:rPr>
        <w:t>Operational Acceptance Tests</w:t>
      </w:r>
      <w:r w:rsidRPr="00D46EF3">
        <w:rPr>
          <w:sz w:val="22"/>
          <w:szCs w:val="22"/>
          <w:lang w:val="mn-MN"/>
        </w:rPr>
        <w:t>: The Purchaser (with the assistance of the Supplier) will perform the tests on the Goods to determine whether the Goods meet all the requirements mandated for Operational Acceptance.</w:t>
      </w:r>
    </w:p>
    <w:p w14:paraId="7AF752E1" w14:textId="77777777" w:rsidR="004471FA" w:rsidRPr="00D46EF3" w:rsidRDefault="004471FA" w:rsidP="004471FA">
      <w:pPr>
        <w:tabs>
          <w:tab w:val="num" w:pos="360"/>
        </w:tabs>
        <w:ind w:left="360" w:hanging="270"/>
        <w:contextualSpacing/>
        <w:jc w:val="both"/>
        <w:rPr>
          <w:sz w:val="22"/>
          <w:szCs w:val="22"/>
          <w:lang w:val="mn-MN"/>
        </w:rPr>
      </w:pPr>
      <w:r w:rsidRPr="00D46EF3">
        <w:rPr>
          <w:sz w:val="22"/>
          <w:szCs w:val="22"/>
          <w:lang w:val="mn-MN"/>
        </w:rPr>
        <w:t>5.</w:t>
      </w:r>
      <w:r w:rsidRPr="00D46EF3">
        <w:rPr>
          <w:sz w:val="22"/>
          <w:szCs w:val="22"/>
          <w:lang w:val="mn-MN"/>
        </w:rPr>
        <w:tab/>
      </w:r>
      <w:r w:rsidRPr="00D46EF3">
        <w:rPr>
          <w:sz w:val="22"/>
          <w:szCs w:val="22"/>
          <w:u w:val="single"/>
          <w:lang w:val="mn-MN"/>
        </w:rPr>
        <w:t>Failure to Perform</w:t>
      </w:r>
      <w:r w:rsidRPr="00D46EF3">
        <w:rPr>
          <w:sz w:val="22"/>
          <w:szCs w:val="22"/>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7D336D42" w14:textId="77777777" w:rsidR="004471FA" w:rsidRPr="00D46EF3" w:rsidRDefault="004471FA" w:rsidP="004471FA">
      <w:pPr>
        <w:rPr>
          <w:sz w:val="22"/>
          <w:szCs w:val="22"/>
          <w:lang w:val="mn-MN"/>
        </w:rPr>
      </w:pPr>
      <w:r w:rsidRPr="00D46EF3">
        <w:rPr>
          <w:sz w:val="22"/>
          <w:szCs w:val="22"/>
          <w:lang w:val="mn-MN"/>
        </w:rPr>
        <w:t xml:space="preserve">  </w:t>
      </w:r>
    </w:p>
    <w:p w14:paraId="38F36FFE" w14:textId="16A53EAA" w:rsidR="004471FA" w:rsidRPr="004471FA" w:rsidRDefault="004471FA" w:rsidP="004471FA">
      <w:pPr>
        <w:jc w:val="right"/>
        <w:rPr>
          <w:i/>
          <w:color w:val="FF0000"/>
          <w:sz w:val="22"/>
          <w:szCs w:val="22"/>
        </w:rPr>
      </w:pPr>
      <w:r w:rsidRPr="00D46EF3">
        <w:rPr>
          <w:sz w:val="22"/>
          <w:szCs w:val="22"/>
          <w:lang w:val="mn-MN"/>
        </w:rPr>
        <w:br w:type="column"/>
      </w:r>
      <w:r w:rsidRPr="00D46EF3">
        <w:rPr>
          <w:i/>
          <w:sz w:val="22"/>
          <w:szCs w:val="22"/>
          <w:lang w:val="mn-MN"/>
        </w:rPr>
        <w:lastRenderedPageBreak/>
        <w:t xml:space="preserve">  </w:t>
      </w:r>
      <w:r>
        <w:rPr>
          <w:i/>
          <w:sz w:val="22"/>
          <w:szCs w:val="22"/>
        </w:rPr>
        <w:t>ANNEX 2</w:t>
      </w:r>
    </w:p>
    <w:p w14:paraId="6E1C3637" w14:textId="77777777" w:rsidR="004471FA" w:rsidRPr="00D46EF3" w:rsidRDefault="004471FA" w:rsidP="004471FA">
      <w:pPr>
        <w:rPr>
          <w:bCs/>
          <w:sz w:val="22"/>
          <w:szCs w:val="22"/>
          <w:lang w:val="mn-MN"/>
        </w:rPr>
      </w:pPr>
    </w:p>
    <w:p w14:paraId="4B58DF1B" w14:textId="77777777" w:rsidR="004471FA" w:rsidRPr="00D46EF3" w:rsidRDefault="004471FA" w:rsidP="004471FA">
      <w:pPr>
        <w:jc w:val="center"/>
        <w:rPr>
          <w:b/>
          <w:sz w:val="22"/>
          <w:szCs w:val="22"/>
          <w:lang w:val="mn-MN"/>
        </w:rPr>
      </w:pPr>
      <w:r w:rsidRPr="00D46EF3">
        <w:rPr>
          <w:b/>
          <w:sz w:val="22"/>
          <w:szCs w:val="22"/>
          <w:lang w:val="mn-MN"/>
        </w:rPr>
        <w:t>NATIONAL SHOPPING</w:t>
      </w:r>
    </w:p>
    <w:p w14:paraId="2B73E3DB" w14:textId="77777777" w:rsidR="004471FA" w:rsidRPr="00D46EF3" w:rsidRDefault="004471FA" w:rsidP="004471FA">
      <w:pPr>
        <w:jc w:val="center"/>
        <w:rPr>
          <w:b/>
          <w:sz w:val="22"/>
          <w:szCs w:val="22"/>
          <w:lang w:val="mn-MN"/>
        </w:rPr>
      </w:pPr>
    </w:p>
    <w:p w14:paraId="17F90242" w14:textId="77777777" w:rsidR="004471FA" w:rsidRPr="00D46EF3" w:rsidRDefault="004471FA" w:rsidP="004471FA">
      <w:pPr>
        <w:jc w:val="center"/>
        <w:rPr>
          <w:b/>
          <w:sz w:val="22"/>
          <w:szCs w:val="22"/>
          <w:lang w:val="mn-MN"/>
        </w:rPr>
      </w:pPr>
      <w:r w:rsidRPr="00D46EF3">
        <w:rPr>
          <w:b/>
          <w:sz w:val="22"/>
          <w:szCs w:val="22"/>
          <w:lang w:val="mn-MN"/>
        </w:rPr>
        <w:t>Technical Requirements of the Goods</w:t>
      </w:r>
    </w:p>
    <w:p w14:paraId="46D84C35" w14:textId="77777777" w:rsidR="004471FA" w:rsidRPr="00D46EF3" w:rsidRDefault="004471FA" w:rsidP="004471FA">
      <w:pPr>
        <w:jc w:val="center"/>
        <w:rPr>
          <w:b/>
          <w:sz w:val="22"/>
          <w:szCs w:val="22"/>
          <w:lang w:val="mn-MN"/>
        </w:rPr>
      </w:pPr>
    </w:p>
    <w:p w14:paraId="72F069DD" w14:textId="77777777" w:rsidR="004471FA" w:rsidRPr="00D46EF3" w:rsidRDefault="004471FA" w:rsidP="004471FA">
      <w:pPr>
        <w:spacing w:line="240" w:lineRule="atLeast"/>
        <w:jc w:val="center"/>
        <w:rPr>
          <w:b/>
          <w:sz w:val="22"/>
          <w:szCs w:val="22"/>
          <w:lang w:val="mn-MN"/>
        </w:rPr>
      </w:pPr>
      <w:r w:rsidRPr="00D46EF3">
        <w:rPr>
          <w:b/>
          <w:sz w:val="22"/>
          <w:szCs w:val="22"/>
          <w:lang w:val="mn-MN"/>
        </w:rPr>
        <w:t>Publication of the Citizen's Budget booklet for budget execution 2018</w:t>
      </w:r>
    </w:p>
    <w:p w14:paraId="0C1A309C" w14:textId="77777777" w:rsidR="004471FA" w:rsidRPr="00D46EF3" w:rsidRDefault="004471FA" w:rsidP="004471FA">
      <w:pPr>
        <w:spacing w:line="240" w:lineRule="atLeast"/>
        <w:jc w:val="center"/>
        <w:rPr>
          <w:b/>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742"/>
        <w:gridCol w:w="4188"/>
      </w:tblGrid>
      <w:tr w:rsidR="004471FA" w:rsidRPr="00D46EF3" w14:paraId="2333FD6E" w14:textId="77777777" w:rsidTr="004471FA">
        <w:trPr>
          <w:trHeight w:val="540"/>
        </w:trPr>
        <w:tc>
          <w:tcPr>
            <w:tcW w:w="288" w:type="pct"/>
            <w:shd w:val="clear" w:color="auto" w:fill="auto"/>
            <w:vAlign w:val="center"/>
          </w:tcPr>
          <w:p w14:paraId="63C784BF" w14:textId="77777777" w:rsidR="004471FA" w:rsidRPr="00D46EF3" w:rsidRDefault="004471FA" w:rsidP="005E621C">
            <w:pPr>
              <w:widowControl w:val="0"/>
              <w:suppressAutoHyphens/>
              <w:spacing w:line="240" w:lineRule="atLeast"/>
              <w:ind w:right="-14"/>
              <w:jc w:val="center"/>
              <w:rPr>
                <w:b/>
                <w:sz w:val="22"/>
                <w:szCs w:val="22"/>
                <w:lang w:val="mn-MN"/>
              </w:rPr>
            </w:pPr>
            <w:r w:rsidRPr="00D46EF3">
              <w:rPr>
                <w:b/>
                <w:sz w:val="22"/>
                <w:szCs w:val="22"/>
                <w:lang w:val="mn-MN"/>
              </w:rPr>
              <w:t>№</w:t>
            </w:r>
          </w:p>
        </w:tc>
        <w:tc>
          <w:tcPr>
            <w:tcW w:w="2502" w:type="pct"/>
            <w:shd w:val="clear" w:color="auto" w:fill="auto"/>
            <w:vAlign w:val="center"/>
          </w:tcPr>
          <w:p w14:paraId="783C7670" w14:textId="61B13BB7" w:rsidR="004471FA" w:rsidRPr="00D46EF3" w:rsidRDefault="004471FA" w:rsidP="004471FA">
            <w:pPr>
              <w:widowControl w:val="0"/>
              <w:suppressAutoHyphens/>
              <w:spacing w:line="240" w:lineRule="atLeast"/>
              <w:ind w:right="-14"/>
              <w:jc w:val="center"/>
              <w:rPr>
                <w:b/>
                <w:sz w:val="22"/>
                <w:szCs w:val="22"/>
                <w:lang w:val="mn-MN"/>
              </w:rPr>
            </w:pPr>
            <w:r w:rsidRPr="00D46EF3">
              <w:rPr>
                <w:b/>
                <w:sz w:val="22"/>
                <w:szCs w:val="22"/>
                <w:lang w:val="mn-MN"/>
              </w:rPr>
              <w:t>Technical requirements</w:t>
            </w:r>
          </w:p>
        </w:tc>
        <w:tc>
          <w:tcPr>
            <w:tcW w:w="2210" w:type="pct"/>
            <w:vAlign w:val="center"/>
          </w:tcPr>
          <w:p w14:paraId="515E2165" w14:textId="2FE32DA8" w:rsidR="004471FA" w:rsidRPr="004471FA" w:rsidRDefault="004471FA" w:rsidP="004471FA">
            <w:pPr>
              <w:widowControl w:val="0"/>
              <w:suppressAutoHyphens/>
              <w:spacing w:line="240" w:lineRule="atLeast"/>
              <w:ind w:right="-14"/>
              <w:jc w:val="center"/>
              <w:rPr>
                <w:b/>
                <w:sz w:val="22"/>
                <w:szCs w:val="22"/>
              </w:rPr>
            </w:pPr>
            <w:r>
              <w:rPr>
                <w:b/>
                <w:sz w:val="22"/>
                <w:szCs w:val="22"/>
              </w:rPr>
              <w:t>Offered technical requirements</w:t>
            </w:r>
          </w:p>
        </w:tc>
      </w:tr>
      <w:tr w:rsidR="004471FA" w:rsidRPr="00D46EF3" w14:paraId="76EF6F0B" w14:textId="77777777" w:rsidTr="004471FA">
        <w:tc>
          <w:tcPr>
            <w:tcW w:w="2790" w:type="pct"/>
            <w:gridSpan w:val="2"/>
            <w:shd w:val="clear" w:color="auto" w:fill="D9D9D9" w:themeFill="background1" w:themeFillShade="D9"/>
            <w:vAlign w:val="center"/>
          </w:tcPr>
          <w:p w14:paraId="1C8E215B" w14:textId="77777777" w:rsidR="004471FA" w:rsidRPr="00D46EF3" w:rsidRDefault="004471FA" w:rsidP="005E621C">
            <w:pPr>
              <w:jc w:val="center"/>
              <w:rPr>
                <w:b/>
                <w:bCs/>
                <w:sz w:val="22"/>
                <w:szCs w:val="22"/>
                <w:lang w:val="mn-MN"/>
              </w:rPr>
            </w:pPr>
            <w:r w:rsidRPr="00D46EF3">
              <w:rPr>
                <w:b/>
                <w:sz w:val="22"/>
                <w:szCs w:val="22"/>
                <w:lang w:val="mn-MN"/>
              </w:rPr>
              <w:t xml:space="preserve">Item 1: </w:t>
            </w:r>
            <w:r w:rsidRPr="00D46EF3">
              <w:rPr>
                <w:b/>
                <w:bCs/>
                <w:sz w:val="22"/>
                <w:szCs w:val="22"/>
                <w:lang w:val="mn-MN"/>
              </w:rPr>
              <w:t>Publication of Citizen Budget execution 2018</w:t>
            </w:r>
          </w:p>
        </w:tc>
        <w:tc>
          <w:tcPr>
            <w:tcW w:w="2210" w:type="pct"/>
            <w:shd w:val="clear" w:color="auto" w:fill="D9D9D9" w:themeFill="background1" w:themeFillShade="D9"/>
          </w:tcPr>
          <w:p w14:paraId="54D47DEA" w14:textId="395B4A84" w:rsidR="004471FA" w:rsidRPr="00D46EF3" w:rsidRDefault="004471FA" w:rsidP="005E621C">
            <w:pPr>
              <w:widowControl w:val="0"/>
              <w:suppressAutoHyphens/>
              <w:spacing w:line="240" w:lineRule="atLeast"/>
              <w:ind w:right="-14"/>
              <w:jc w:val="center"/>
              <w:rPr>
                <w:b/>
                <w:sz w:val="22"/>
                <w:szCs w:val="22"/>
                <w:lang w:val="mn-MN"/>
              </w:rPr>
            </w:pPr>
          </w:p>
        </w:tc>
      </w:tr>
      <w:tr w:rsidR="004471FA" w:rsidRPr="00D46EF3" w14:paraId="3AD72505" w14:textId="77777777" w:rsidTr="004471FA">
        <w:trPr>
          <w:trHeight w:val="486"/>
        </w:trPr>
        <w:tc>
          <w:tcPr>
            <w:tcW w:w="288" w:type="pct"/>
            <w:vMerge w:val="restart"/>
            <w:shd w:val="clear" w:color="auto" w:fill="auto"/>
            <w:vAlign w:val="center"/>
          </w:tcPr>
          <w:p w14:paraId="5A83EE8F" w14:textId="77777777" w:rsidR="004471FA" w:rsidRPr="00D46EF3" w:rsidRDefault="004471FA" w:rsidP="005E621C">
            <w:pPr>
              <w:widowControl w:val="0"/>
              <w:suppressAutoHyphens/>
              <w:spacing w:line="240" w:lineRule="atLeast"/>
              <w:ind w:right="-14"/>
              <w:jc w:val="center"/>
              <w:rPr>
                <w:sz w:val="22"/>
                <w:szCs w:val="22"/>
                <w:lang w:val="mn-MN"/>
              </w:rPr>
            </w:pPr>
            <w:r w:rsidRPr="00D46EF3">
              <w:rPr>
                <w:sz w:val="22"/>
                <w:szCs w:val="22"/>
                <w:lang w:val="mn-MN"/>
              </w:rPr>
              <w:t>1</w:t>
            </w:r>
          </w:p>
        </w:tc>
        <w:tc>
          <w:tcPr>
            <w:tcW w:w="2502" w:type="pct"/>
            <w:shd w:val="clear" w:color="auto" w:fill="auto"/>
            <w:vAlign w:val="center"/>
          </w:tcPr>
          <w:p w14:paraId="7D4B2023" w14:textId="3BC7DFDC" w:rsidR="004471FA" w:rsidRPr="00D46EF3" w:rsidRDefault="004471FA" w:rsidP="004471FA">
            <w:pPr>
              <w:rPr>
                <w:sz w:val="22"/>
                <w:szCs w:val="22"/>
                <w:lang w:val="mn-MN"/>
              </w:rPr>
            </w:pPr>
            <w:r w:rsidRPr="00D46EF3">
              <w:rPr>
                <w:sz w:val="22"/>
                <w:szCs w:val="22"/>
                <w:lang w:val="mn-MN"/>
              </w:rPr>
              <w:t>Number of pages – A4 size- around 100 pages;</w:t>
            </w:r>
          </w:p>
        </w:tc>
        <w:tc>
          <w:tcPr>
            <w:tcW w:w="2210" w:type="pct"/>
          </w:tcPr>
          <w:p w14:paraId="1D901089" w14:textId="77777777" w:rsidR="004471FA" w:rsidRPr="00D46EF3" w:rsidRDefault="004471FA" w:rsidP="005E621C">
            <w:pPr>
              <w:widowControl w:val="0"/>
              <w:suppressAutoHyphens/>
              <w:spacing w:line="240" w:lineRule="atLeast"/>
              <w:ind w:right="-14"/>
              <w:jc w:val="center"/>
              <w:rPr>
                <w:sz w:val="22"/>
                <w:szCs w:val="22"/>
                <w:lang w:val="mn-MN"/>
              </w:rPr>
            </w:pPr>
          </w:p>
        </w:tc>
      </w:tr>
      <w:tr w:rsidR="004471FA" w:rsidRPr="00D46EF3" w14:paraId="38D9D169" w14:textId="77777777" w:rsidTr="004471FA">
        <w:trPr>
          <w:trHeight w:val="486"/>
        </w:trPr>
        <w:tc>
          <w:tcPr>
            <w:tcW w:w="288" w:type="pct"/>
            <w:vMerge/>
            <w:shd w:val="clear" w:color="auto" w:fill="auto"/>
            <w:vAlign w:val="center"/>
          </w:tcPr>
          <w:p w14:paraId="64DA671A" w14:textId="77777777" w:rsidR="004471FA" w:rsidRPr="00D46EF3" w:rsidRDefault="004471FA" w:rsidP="005E621C">
            <w:pPr>
              <w:widowControl w:val="0"/>
              <w:suppressAutoHyphens/>
              <w:spacing w:line="240" w:lineRule="atLeast"/>
              <w:ind w:right="-14"/>
              <w:jc w:val="center"/>
              <w:rPr>
                <w:sz w:val="22"/>
                <w:szCs w:val="22"/>
                <w:lang w:val="mn-MN"/>
              </w:rPr>
            </w:pPr>
          </w:p>
        </w:tc>
        <w:tc>
          <w:tcPr>
            <w:tcW w:w="2502" w:type="pct"/>
            <w:shd w:val="clear" w:color="auto" w:fill="auto"/>
            <w:vAlign w:val="center"/>
          </w:tcPr>
          <w:p w14:paraId="29B22A23" w14:textId="74082AEC" w:rsidR="004471FA" w:rsidRPr="00D46EF3" w:rsidRDefault="004471FA" w:rsidP="004471FA">
            <w:pPr>
              <w:rPr>
                <w:sz w:val="22"/>
                <w:szCs w:val="22"/>
                <w:lang w:val="mn-MN"/>
              </w:rPr>
            </w:pPr>
            <w:r w:rsidRPr="00D46EF3">
              <w:rPr>
                <w:color w:val="212121"/>
                <w:sz w:val="22"/>
                <w:szCs w:val="22"/>
                <w:lang w:val="mn-MN"/>
              </w:rPr>
              <w:t>Cover: 4 + 4 color, 250g matte coated chalk paper;</w:t>
            </w:r>
          </w:p>
        </w:tc>
        <w:tc>
          <w:tcPr>
            <w:tcW w:w="2210" w:type="pct"/>
          </w:tcPr>
          <w:p w14:paraId="33074473" w14:textId="77777777" w:rsidR="004471FA" w:rsidRPr="00D46EF3" w:rsidRDefault="004471FA" w:rsidP="005E621C">
            <w:pPr>
              <w:widowControl w:val="0"/>
              <w:suppressAutoHyphens/>
              <w:spacing w:line="240" w:lineRule="atLeast"/>
              <w:ind w:right="-14"/>
              <w:jc w:val="center"/>
              <w:rPr>
                <w:sz w:val="22"/>
                <w:szCs w:val="22"/>
                <w:lang w:val="mn-MN"/>
              </w:rPr>
            </w:pPr>
          </w:p>
        </w:tc>
      </w:tr>
      <w:tr w:rsidR="004471FA" w:rsidRPr="00D46EF3" w14:paraId="2E57F911" w14:textId="77777777" w:rsidTr="004471FA">
        <w:trPr>
          <w:trHeight w:val="486"/>
        </w:trPr>
        <w:tc>
          <w:tcPr>
            <w:tcW w:w="288" w:type="pct"/>
            <w:vMerge/>
            <w:shd w:val="clear" w:color="auto" w:fill="auto"/>
            <w:vAlign w:val="center"/>
          </w:tcPr>
          <w:p w14:paraId="174376A0" w14:textId="77777777" w:rsidR="004471FA" w:rsidRPr="00D46EF3" w:rsidRDefault="004471FA" w:rsidP="005E621C">
            <w:pPr>
              <w:widowControl w:val="0"/>
              <w:suppressAutoHyphens/>
              <w:spacing w:line="240" w:lineRule="atLeast"/>
              <w:ind w:right="-14"/>
              <w:jc w:val="center"/>
              <w:rPr>
                <w:sz w:val="22"/>
                <w:szCs w:val="22"/>
                <w:lang w:val="mn-MN"/>
              </w:rPr>
            </w:pPr>
          </w:p>
        </w:tc>
        <w:tc>
          <w:tcPr>
            <w:tcW w:w="2502" w:type="pct"/>
            <w:shd w:val="clear" w:color="auto" w:fill="auto"/>
            <w:vAlign w:val="center"/>
          </w:tcPr>
          <w:p w14:paraId="122A8490" w14:textId="651F75B1" w:rsidR="004471FA" w:rsidRPr="00D46EF3" w:rsidRDefault="004471FA" w:rsidP="004471FA">
            <w:pPr>
              <w:rPr>
                <w:sz w:val="22"/>
                <w:szCs w:val="22"/>
                <w:lang w:val="mn-MN"/>
              </w:rPr>
            </w:pPr>
            <w:r w:rsidRPr="00D46EF3">
              <w:rPr>
                <w:color w:val="212121"/>
                <w:sz w:val="22"/>
                <w:szCs w:val="22"/>
                <w:lang w:val="mn-MN"/>
              </w:rPr>
              <w:t>Interior: 4 + 4 color, 105g chalk paper;</w:t>
            </w:r>
          </w:p>
        </w:tc>
        <w:tc>
          <w:tcPr>
            <w:tcW w:w="2210" w:type="pct"/>
          </w:tcPr>
          <w:p w14:paraId="042C30C7" w14:textId="77777777" w:rsidR="004471FA" w:rsidRPr="00D46EF3" w:rsidRDefault="004471FA" w:rsidP="005E621C">
            <w:pPr>
              <w:widowControl w:val="0"/>
              <w:suppressAutoHyphens/>
              <w:spacing w:line="240" w:lineRule="atLeast"/>
              <w:ind w:right="-14"/>
              <w:jc w:val="center"/>
              <w:rPr>
                <w:sz w:val="22"/>
                <w:szCs w:val="22"/>
                <w:lang w:val="mn-MN"/>
              </w:rPr>
            </w:pPr>
          </w:p>
        </w:tc>
      </w:tr>
      <w:tr w:rsidR="004471FA" w:rsidRPr="00D46EF3" w14:paraId="10CE1BA4" w14:textId="77777777" w:rsidTr="004471FA">
        <w:trPr>
          <w:trHeight w:val="486"/>
        </w:trPr>
        <w:tc>
          <w:tcPr>
            <w:tcW w:w="288" w:type="pct"/>
            <w:vMerge/>
            <w:shd w:val="clear" w:color="auto" w:fill="auto"/>
            <w:vAlign w:val="center"/>
          </w:tcPr>
          <w:p w14:paraId="7FFAD28B" w14:textId="77777777" w:rsidR="004471FA" w:rsidRPr="00D46EF3" w:rsidRDefault="004471FA" w:rsidP="005E621C">
            <w:pPr>
              <w:widowControl w:val="0"/>
              <w:suppressAutoHyphens/>
              <w:spacing w:line="240" w:lineRule="atLeast"/>
              <w:ind w:right="-14"/>
              <w:jc w:val="center"/>
              <w:rPr>
                <w:sz w:val="22"/>
                <w:szCs w:val="22"/>
                <w:lang w:val="mn-MN"/>
              </w:rPr>
            </w:pPr>
          </w:p>
        </w:tc>
        <w:tc>
          <w:tcPr>
            <w:tcW w:w="2502" w:type="pct"/>
            <w:shd w:val="clear" w:color="auto" w:fill="auto"/>
            <w:vAlign w:val="center"/>
          </w:tcPr>
          <w:p w14:paraId="546C28BD" w14:textId="57A8B679" w:rsidR="004471FA" w:rsidRPr="00D46EF3" w:rsidRDefault="004471FA" w:rsidP="004471FA">
            <w:pPr>
              <w:rPr>
                <w:sz w:val="22"/>
                <w:szCs w:val="22"/>
                <w:lang w:val="mn-MN"/>
              </w:rPr>
            </w:pPr>
            <w:r w:rsidRPr="00D46EF3">
              <w:rPr>
                <w:color w:val="212121"/>
                <w:sz w:val="22"/>
                <w:szCs w:val="22"/>
                <w:lang w:val="mn-MN"/>
              </w:rPr>
              <w:t>Binding: high quality saddle stitch.</w:t>
            </w:r>
          </w:p>
        </w:tc>
        <w:tc>
          <w:tcPr>
            <w:tcW w:w="2210" w:type="pct"/>
          </w:tcPr>
          <w:p w14:paraId="5463B972" w14:textId="77777777" w:rsidR="004471FA" w:rsidRPr="00D46EF3" w:rsidRDefault="004471FA" w:rsidP="005E621C">
            <w:pPr>
              <w:widowControl w:val="0"/>
              <w:suppressAutoHyphens/>
              <w:spacing w:line="240" w:lineRule="atLeast"/>
              <w:ind w:right="-14"/>
              <w:jc w:val="center"/>
              <w:rPr>
                <w:sz w:val="22"/>
                <w:szCs w:val="22"/>
                <w:lang w:val="mn-MN"/>
              </w:rPr>
            </w:pPr>
          </w:p>
        </w:tc>
      </w:tr>
    </w:tbl>
    <w:p w14:paraId="13938689" w14:textId="77777777" w:rsidR="004471FA" w:rsidRPr="00D46EF3" w:rsidRDefault="004471FA" w:rsidP="004471FA">
      <w:pPr>
        <w:rPr>
          <w:sz w:val="22"/>
          <w:szCs w:val="22"/>
          <w:lang w:val="mn-MN"/>
        </w:rPr>
      </w:pPr>
    </w:p>
    <w:p w14:paraId="1D9CE820" w14:textId="77777777" w:rsidR="004471FA" w:rsidRPr="00D46EF3" w:rsidRDefault="004471FA" w:rsidP="004471FA">
      <w:pPr>
        <w:jc w:val="both"/>
        <w:rPr>
          <w:bCs/>
          <w:i/>
          <w:sz w:val="22"/>
          <w:szCs w:val="22"/>
          <w:lang w:val="mn-MN"/>
        </w:rPr>
      </w:pPr>
      <w:r w:rsidRPr="00D46EF3">
        <w:rPr>
          <w:bCs/>
          <w:i/>
          <w:sz w:val="22"/>
          <w:szCs w:val="22"/>
          <w:lang w:val="mn-MN"/>
        </w:rPr>
        <w:t xml:space="preserve">Note: Please note that price quotations will be evaluated for responsiveness against required technical specifications; therefore, each technical requirements of your proposed Goods should be filled out precisely next to the requirements provided by the Client.   </w:t>
      </w:r>
    </w:p>
    <w:p w14:paraId="2781C980" w14:textId="77777777" w:rsidR="004471FA" w:rsidRPr="00D46EF3" w:rsidRDefault="004471FA" w:rsidP="004471FA">
      <w:pPr>
        <w:jc w:val="both"/>
        <w:rPr>
          <w:bCs/>
          <w:i/>
          <w:sz w:val="22"/>
          <w:szCs w:val="22"/>
          <w:lang w:val="mn-MN"/>
        </w:rPr>
      </w:pPr>
    </w:p>
    <w:p w14:paraId="391BFDFB" w14:textId="77777777" w:rsidR="004471FA" w:rsidRPr="00D46EF3" w:rsidRDefault="004471FA" w:rsidP="004471FA">
      <w:pPr>
        <w:jc w:val="both"/>
        <w:rPr>
          <w:i/>
          <w:sz w:val="22"/>
          <w:szCs w:val="22"/>
          <w:lang w:val="mn-MN"/>
        </w:rPr>
      </w:pPr>
    </w:p>
    <w:p w14:paraId="612AAE79" w14:textId="77777777" w:rsidR="00BF6AF0" w:rsidRPr="008B2912" w:rsidRDefault="00BF6AF0" w:rsidP="008B2912">
      <w:pPr>
        <w:jc w:val="both"/>
        <w:rPr>
          <w:lang w:val="mn-MN"/>
        </w:rPr>
      </w:pPr>
    </w:p>
    <w:sectPr w:rsidR="00BF6AF0" w:rsidRPr="008B2912" w:rsidSect="004471FA">
      <w:footerReference w:type="default" r:id="rId7"/>
      <w:pgSz w:w="11907" w:h="16840" w:code="9"/>
      <w:pgMar w:top="440" w:right="1287" w:bottom="0" w:left="1134"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F5DE" w14:textId="77777777" w:rsidR="00BD04AF" w:rsidRDefault="00BD04AF" w:rsidP="00F01E40">
      <w:r>
        <w:separator/>
      </w:r>
    </w:p>
  </w:endnote>
  <w:endnote w:type="continuationSeparator" w:id="0">
    <w:p w14:paraId="5AA606AF" w14:textId="77777777" w:rsidR="00BD04AF" w:rsidRDefault="00BD04AF"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7692"/>
      <w:docPartObj>
        <w:docPartGallery w:val="Page Numbers (Bottom of Page)"/>
        <w:docPartUnique/>
      </w:docPartObj>
    </w:sdtPr>
    <w:sdtEndPr>
      <w:rPr>
        <w:noProof/>
      </w:rPr>
    </w:sdtEndPr>
    <w:sdtContent>
      <w:p w14:paraId="1ECCA814" w14:textId="77777777" w:rsidR="00BF6AF0" w:rsidRDefault="00BF6AF0">
        <w:pPr>
          <w:pStyle w:val="Footer"/>
          <w:jc w:val="right"/>
        </w:pPr>
        <w:r>
          <w:fldChar w:fldCharType="begin"/>
        </w:r>
        <w:r>
          <w:instrText xml:space="preserve"> PAGE   \* MERGEFORMAT </w:instrText>
        </w:r>
        <w:r>
          <w:fldChar w:fldCharType="separate"/>
        </w:r>
        <w:r w:rsidR="008B2912">
          <w:rPr>
            <w:noProof/>
          </w:rPr>
          <w:t>1</w:t>
        </w:r>
        <w:r>
          <w:rPr>
            <w:noProof/>
          </w:rPr>
          <w:fldChar w:fldCharType="end"/>
        </w:r>
      </w:p>
    </w:sdtContent>
  </w:sdt>
  <w:p w14:paraId="2C58D9FD" w14:textId="77777777" w:rsidR="00BF6AF0" w:rsidRDefault="00BF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86C4" w14:textId="77777777" w:rsidR="00BD04AF" w:rsidRDefault="00BD04AF" w:rsidP="00F01E40">
      <w:r>
        <w:separator/>
      </w:r>
    </w:p>
  </w:footnote>
  <w:footnote w:type="continuationSeparator" w:id="0">
    <w:p w14:paraId="53D1EE76" w14:textId="77777777" w:rsidR="00BD04AF" w:rsidRDefault="00BD04AF" w:rsidP="00F0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256D6"/>
    <w:multiLevelType w:val="multilevel"/>
    <w:tmpl w:val="12E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0"/>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70"/>
    <w:rsid w:val="000062BB"/>
    <w:rsid w:val="0001342B"/>
    <w:rsid w:val="000139DF"/>
    <w:rsid w:val="00024644"/>
    <w:rsid w:val="00043351"/>
    <w:rsid w:val="0004711F"/>
    <w:rsid w:val="00107596"/>
    <w:rsid w:val="00164D19"/>
    <w:rsid w:val="001A1228"/>
    <w:rsid w:val="001A275E"/>
    <w:rsid w:val="001C687B"/>
    <w:rsid w:val="002D34F7"/>
    <w:rsid w:val="002D5131"/>
    <w:rsid w:val="002E0A20"/>
    <w:rsid w:val="00307D72"/>
    <w:rsid w:val="00357D2E"/>
    <w:rsid w:val="00383658"/>
    <w:rsid w:val="003B2079"/>
    <w:rsid w:val="003F6C5F"/>
    <w:rsid w:val="00414892"/>
    <w:rsid w:val="004471FA"/>
    <w:rsid w:val="00476AEB"/>
    <w:rsid w:val="00493EA4"/>
    <w:rsid w:val="004D52A2"/>
    <w:rsid w:val="004E696F"/>
    <w:rsid w:val="004F3D14"/>
    <w:rsid w:val="00515270"/>
    <w:rsid w:val="00526103"/>
    <w:rsid w:val="0053572A"/>
    <w:rsid w:val="00553647"/>
    <w:rsid w:val="005A01BA"/>
    <w:rsid w:val="005A472F"/>
    <w:rsid w:val="0064741C"/>
    <w:rsid w:val="006C2E52"/>
    <w:rsid w:val="006C683A"/>
    <w:rsid w:val="00720893"/>
    <w:rsid w:val="00725245"/>
    <w:rsid w:val="00772670"/>
    <w:rsid w:val="007B3FF2"/>
    <w:rsid w:val="007C6CF9"/>
    <w:rsid w:val="00805D43"/>
    <w:rsid w:val="008343ED"/>
    <w:rsid w:val="0084649E"/>
    <w:rsid w:val="008604E0"/>
    <w:rsid w:val="00873D87"/>
    <w:rsid w:val="0088459C"/>
    <w:rsid w:val="00892D5E"/>
    <w:rsid w:val="008B2912"/>
    <w:rsid w:val="008C356B"/>
    <w:rsid w:val="008E6C43"/>
    <w:rsid w:val="00916C93"/>
    <w:rsid w:val="00924F13"/>
    <w:rsid w:val="00943E61"/>
    <w:rsid w:val="00961F65"/>
    <w:rsid w:val="009A6598"/>
    <w:rsid w:val="00A423EB"/>
    <w:rsid w:val="00A53AE9"/>
    <w:rsid w:val="00A83DD6"/>
    <w:rsid w:val="00AC4135"/>
    <w:rsid w:val="00AD650B"/>
    <w:rsid w:val="00B0314F"/>
    <w:rsid w:val="00B050BE"/>
    <w:rsid w:val="00B078BB"/>
    <w:rsid w:val="00B124F2"/>
    <w:rsid w:val="00B13C32"/>
    <w:rsid w:val="00B94B0C"/>
    <w:rsid w:val="00BB6118"/>
    <w:rsid w:val="00BD04AF"/>
    <w:rsid w:val="00BE008E"/>
    <w:rsid w:val="00BF6AF0"/>
    <w:rsid w:val="00C50A7E"/>
    <w:rsid w:val="00C80061"/>
    <w:rsid w:val="00E02CFC"/>
    <w:rsid w:val="00E156A8"/>
    <w:rsid w:val="00E4315A"/>
    <w:rsid w:val="00E670DD"/>
    <w:rsid w:val="00E927BE"/>
    <w:rsid w:val="00ED0586"/>
    <w:rsid w:val="00EE4DC7"/>
    <w:rsid w:val="00F01E40"/>
    <w:rsid w:val="00FE357C"/>
    <w:rsid w:val="00FF2A44"/>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554CB"/>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 w:type="table" w:styleId="TableGrid">
    <w:name w:val="Table Grid"/>
    <w:basedOn w:val="TableNormal"/>
    <w:uiPriority w:val="59"/>
    <w:rsid w:val="00BF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F0"/>
    <w:pPr>
      <w:spacing w:before="100" w:beforeAutospacing="1" w:after="100" w:afterAutospacing="1"/>
    </w:pPr>
  </w:style>
  <w:style w:type="paragraph" w:customStyle="1" w:styleId="bottom-offset-0">
    <w:name w:val="bottom-offset-0"/>
    <w:basedOn w:val="Normal"/>
    <w:rsid w:val="00BF6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Bayarmaa Losol</cp:lastModifiedBy>
  <cp:revision>2</cp:revision>
  <cp:lastPrinted>2019-09-27T08:43:00Z</cp:lastPrinted>
  <dcterms:created xsi:type="dcterms:W3CDTF">2019-09-27T08:47:00Z</dcterms:created>
  <dcterms:modified xsi:type="dcterms:W3CDTF">2019-09-27T08:47:00Z</dcterms:modified>
</cp:coreProperties>
</file>